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Times New Roman" w:hAnsi="Times New Roman" w:eastAsia="黑体"/>
          <w:sz w:val="52"/>
          <w:szCs w:val="52"/>
          <w:highlight w:val="none"/>
          <w:u w:val="single"/>
          <w:lang w:val="en-US" w:eastAsia="zh-CN"/>
        </w:rPr>
      </w:pPr>
      <w:r>
        <w:rPr>
          <w:rFonts w:hint="eastAsia" w:ascii="Times New Roman" w:hAnsi="Times New Roman" w:eastAsia="黑体"/>
          <w:color w:val="000000"/>
          <w:sz w:val="52"/>
          <w:szCs w:val="52"/>
          <w:highlight w:val="none"/>
          <w:u w:val="single"/>
          <w:lang w:eastAsia="zh-CN"/>
        </w:rPr>
        <w:t>全自动煎药机采购项目</w:t>
      </w:r>
    </w:p>
    <w:p>
      <w:pPr>
        <w:jc w:val="center"/>
        <w:rPr>
          <w:rFonts w:ascii="Times New Roman" w:hAnsi="Times New Roman" w:eastAsia="黑体"/>
          <w:sz w:val="52"/>
          <w:szCs w:val="52"/>
          <w:highlight w:val="none"/>
        </w:rPr>
      </w:pPr>
    </w:p>
    <w:p>
      <w:pPr>
        <w:jc w:val="center"/>
        <w:rPr>
          <w:rFonts w:ascii="Times New Roman" w:hAnsi="Times New Roman" w:eastAsia="黑体"/>
          <w:color w:val="000000"/>
          <w:sz w:val="52"/>
          <w:szCs w:val="52"/>
          <w:highlight w:val="none"/>
        </w:rPr>
      </w:pPr>
      <w:r>
        <w:rPr>
          <w:rFonts w:hint="eastAsia" w:ascii="Times New Roman" w:hAnsi="Times New Roman" w:eastAsia="黑体"/>
          <w:color w:val="000000"/>
          <w:sz w:val="52"/>
          <w:szCs w:val="52"/>
          <w:highlight w:val="none"/>
        </w:rPr>
        <w:t>询比采购</w:t>
      </w:r>
      <w:r>
        <w:rPr>
          <w:rFonts w:ascii="Times New Roman" w:hAnsi="Times New Roman" w:eastAsia="黑体"/>
          <w:color w:val="000000"/>
          <w:sz w:val="52"/>
          <w:szCs w:val="52"/>
          <w:highlight w:val="none"/>
        </w:rPr>
        <w:t>文件</w:t>
      </w:r>
    </w:p>
    <w:p>
      <w:pPr>
        <w:spacing w:line="400" w:lineRule="exact"/>
        <w:rPr>
          <w:rFonts w:ascii="Times New Roman" w:hAnsi="Times New Roman"/>
          <w:color w:val="000000"/>
          <w:highlight w:val="none"/>
        </w:rPr>
      </w:pPr>
    </w:p>
    <w:p>
      <w:pPr>
        <w:spacing w:line="400" w:lineRule="exact"/>
        <w:rPr>
          <w:rFonts w:ascii="Times New Roman" w:hAnsi="Times New Roman"/>
          <w:color w:val="000000"/>
          <w:highlight w:val="none"/>
        </w:rPr>
      </w:pPr>
      <w:r>
        <w:rPr>
          <w:highlight w:val="none"/>
        </w:rPr>
        <w:drawing>
          <wp:anchor distT="0" distB="0" distL="114300" distR="114300" simplePos="0" relativeHeight="251659264" behindDoc="1" locked="0" layoutInCell="1" allowOverlap="1">
            <wp:simplePos x="0" y="0"/>
            <wp:positionH relativeFrom="column">
              <wp:posOffset>177800</wp:posOffset>
            </wp:positionH>
            <wp:positionV relativeFrom="paragraph">
              <wp:posOffset>67945</wp:posOffset>
            </wp:positionV>
            <wp:extent cx="5006975" cy="4948555"/>
            <wp:effectExtent l="0" t="0" r="3175" b="4445"/>
            <wp:wrapThrough wrapText="bothSides">
              <wp:wrapPolygon>
                <wp:start x="21592" y="-2"/>
                <wp:lineTo x="0" y="0"/>
                <wp:lineTo x="0" y="21600"/>
                <wp:lineTo x="21592" y="21602"/>
                <wp:lineTo x="8" y="21602"/>
                <wp:lineTo x="21600" y="21600"/>
                <wp:lineTo x="21600" y="0"/>
                <wp:lineTo x="8" y="-2"/>
                <wp:lineTo x="21592" y="-2"/>
              </wp:wrapPolygon>
            </wp:wrapThrough>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5006975" cy="4948555"/>
                    </a:xfrm>
                    <a:prstGeom prst="rect">
                      <a:avLst/>
                    </a:prstGeom>
                    <a:noFill/>
                    <a:ln>
                      <a:noFill/>
                    </a:ln>
                  </pic:spPr>
                </pic:pic>
              </a:graphicData>
            </a:graphic>
          </wp:anchor>
        </w:drawing>
      </w:r>
    </w:p>
    <w:p>
      <w:pPr>
        <w:spacing w:line="400" w:lineRule="exact"/>
        <w:rPr>
          <w:rFonts w:ascii="Times New Roman" w:hAnsi="Times New Roman"/>
          <w:color w:val="000000"/>
          <w:highlight w:val="none"/>
        </w:rPr>
      </w:pPr>
    </w:p>
    <w:p>
      <w:pPr>
        <w:spacing w:line="360" w:lineRule="auto"/>
        <w:ind w:firstLine="2240" w:firstLineChars="700"/>
        <w:jc w:val="left"/>
        <w:rPr>
          <w:rFonts w:ascii="Times New Roman" w:hAnsi="Times New Roman" w:eastAsia="黑体"/>
          <w:color w:val="000000"/>
          <w:sz w:val="32"/>
          <w:szCs w:val="32"/>
          <w:highlight w:val="none"/>
        </w:rPr>
      </w:pPr>
      <w:r>
        <w:rPr>
          <w:rFonts w:hint="eastAsia" w:ascii="Times New Roman" w:hAnsi="Times New Roman" w:eastAsia="黑体"/>
          <w:color w:val="000000"/>
          <w:sz w:val="32"/>
          <w:szCs w:val="32"/>
          <w:highlight w:val="none"/>
        </w:rPr>
        <w:t>采购人</w:t>
      </w:r>
      <w:r>
        <w:rPr>
          <w:rFonts w:ascii="Times New Roman" w:hAnsi="Times New Roman" w:eastAsia="黑体"/>
          <w:color w:val="000000"/>
          <w:sz w:val="32"/>
          <w:szCs w:val="32"/>
          <w:highlight w:val="none"/>
        </w:rPr>
        <w:t>：</w:t>
      </w:r>
      <w:r>
        <w:rPr>
          <w:rFonts w:hint="eastAsia" w:ascii="Times New Roman" w:hAnsi="Times New Roman" w:eastAsia="黑体" w:cs="Times New Roman"/>
          <w:color w:val="000000"/>
          <w:sz w:val="32"/>
          <w:szCs w:val="32"/>
          <w:highlight w:val="none"/>
          <w:lang w:eastAsia="zh-CN"/>
        </w:rPr>
        <w:t>郎溪县中医院</w:t>
      </w:r>
    </w:p>
    <w:p>
      <w:pPr>
        <w:pStyle w:val="2"/>
        <w:spacing w:line="240" w:lineRule="auto"/>
        <w:jc w:val="center"/>
        <w:rPr>
          <w:color w:val="auto"/>
          <w:highlight w:val="none"/>
        </w:rPr>
      </w:pPr>
      <w:bookmarkStart w:id="0" w:name="_Toc16974"/>
      <w:bookmarkStart w:id="1" w:name="_Toc501460631"/>
      <w:bookmarkStart w:id="2" w:name="_Toc152045511"/>
      <w:bookmarkStart w:id="3" w:name="_Toc152042287"/>
      <w:bookmarkStart w:id="4" w:name="_Toc144974479"/>
    </w:p>
    <w:p>
      <w:pPr>
        <w:pStyle w:val="2"/>
        <w:spacing w:line="240" w:lineRule="auto"/>
        <w:jc w:val="center"/>
        <w:rPr>
          <w:color w:val="auto"/>
          <w:highlight w:val="none"/>
        </w:rPr>
      </w:pPr>
      <w:r>
        <w:rPr>
          <w:color w:val="auto"/>
          <w:highlight w:val="none"/>
        </w:rPr>
        <w:t>第一章</w:t>
      </w:r>
      <w:r>
        <w:rPr>
          <w:rFonts w:hint="eastAsia"/>
          <w:color w:val="auto"/>
          <w:highlight w:val="none"/>
        </w:rPr>
        <w:t xml:space="preserve">  询比采购</w:t>
      </w:r>
      <w:r>
        <w:rPr>
          <w:color w:val="auto"/>
          <w:highlight w:val="none"/>
        </w:rPr>
        <w:t>公告</w:t>
      </w:r>
      <w:bookmarkEnd w:id="0"/>
      <w:bookmarkEnd w:id="1"/>
    </w:p>
    <w:p>
      <w:pPr>
        <w:spacing w:line="440" w:lineRule="exact"/>
        <w:jc w:val="center"/>
        <w:rPr>
          <w:rFonts w:ascii="Times New Roman" w:hAnsi="Times New Roman" w:eastAsia="黑体"/>
          <w:color w:val="auto"/>
          <w:sz w:val="28"/>
          <w:highlight w:val="none"/>
        </w:rPr>
      </w:pPr>
      <w:r>
        <w:rPr>
          <w:rFonts w:hint="eastAsia" w:ascii="Times New Roman" w:hAnsi="Times New Roman" w:eastAsia="黑体"/>
          <w:color w:val="auto"/>
          <w:sz w:val="28"/>
          <w:szCs w:val="28"/>
          <w:highlight w:val="none"/>
          <w:u w:val="single"/>
          <w:lang w:eastAsia="zh-CN"/>
        </w:rPr>
        <w:t>全自动煎药机采购项目</w:t>
      </w:r>
      <w:r>
        <w:rPr>
          <w:rFonts w:hint="eastAsia" w:ascii="Times New Roman" w:hAnsi="Times New Roman" w:eastAsia="黑体"/>
          <w:color w:val="auto"/>
          <w:sz w:val="28"/>
          <w:szCs w:val="28"/>
          <w:highlight w:val="none"/>
        </w:rPr>
        <w:t>询比</w:t>
      </w:r>
      <w:r>
        <w:rPr>
          <w:rFonts w:ascii="Times New Roman" w:hAnsi="Times New Roman" w:eastAsia="黑体"/>
          <w:color w:val="auto"/>
          <w:sz w:val="28"/>
          <w:szCs w:val="28"/>
          <w:highlight w:val="none"/>
        </w:rPr>
        <w:t>采购</w:t>
      </w:r>
      <w:r>
        <w:rPr>
          <w:rFonts w:ascii="Times New Roman" w:hAnsi="Times New Roman" w:eastAsia="黑体"/>
          <w:color w:val="auto"/>
          <w:sz w:val="28"/>
          <w:highlight w:val="none"/>
        </w:rPr>
        <w:t>公告</w:t>
      </w:r>
    </w:p>
    <w:p>
      <w:pPr>
        <w:spacing w:line="400" w:lineRule="exact"/>
        <w:ind w:firstLine="420" w:firstLineChars="200"/>
        <w:jc w:val="left"/>
        <w:rPr>
          <w:rFonts w:ascii="Times New Roman" w:hAnsi="Times New Roman"/>
          <w:color w:val="auto"/>
          <w:highlight w:val="none"/>
        </w:rPr>
      </w:pPr>
    </w:p>
    <w:p>
      <w:pPr>
        <w:spacing w:line="400" w:lineRule="exact"/>
        <w:ind w:firstLine="420" w:firstLineChars="200"/>
        <w:jc w:val="left"/>
        <w:rPr>
          <w:rFonts w:ascii="Times New Roman" w:hAnsi="Times New Roman"/>
          <w:color w:val="auto"/>
          <w:highlight w:val="none"/>
        </w:rPr>
      </w:pPr>
      <w:r>
        <w:rPr>
          <w:rFonts w:hint="eastAsia" w:ascii="Times New Roman" w:hAnsi="Times New Roman" w:eastAsia="黑体"/>
          <w:color w:val="auto"/>
          <w:sz w:val="21"/>
          <w:szCs w:val="21"/>
          <w:highlight w:val="none"/>
          <w:u w:val="single"/>
          <w:lang w:eastAsia="zh-CN"/>
        </w:rPr>
        <w:t>全自动煎药机采购项目</w:t>
      </w:r>
      <w:r>
        <w:rPr>
          <w:rFonts w:hint="eastAsia" w:ascii="Times New Roman" w:hAnsi="Times New Roman"/>
          <w:color w:val="auto"/>
          <w:highlight w:val="none"/>
        </w:rPr>
        <w:t>已具备采购条件，现公开邀请供应商参加询比采购活动。</w:t>
      </w:r>
    </w:p>
    <w:p>
      <w:pPr>
        <w:pStyle w:val="3"/>
        <w:spacing w:line="240" w:lineRule="auto"/>
        <w:rPr>
          <w:rFonts w:ascii="Times New Roman" w:hAnsi="Times New Roman"/>
          <w:color w:val="auto"/>
          <w:highlight w:val="none"/>
        </w:rPr>
      </w:pPr>
      <w:bookmarkStart w:id="5" w:name="_Toc8536"/>
      <w:bookmarkStart w:id="6" w:name="_Toc501460632"/>
      <w:r>
        <w:rPr>
          <w:rFonts w:ascii="Times New Roman" w:hAnsi="Times New Roman"/>
          <w:color w:val="auto"/>
          <w:highlight w:val="none"/>
        </w:rPr>
        <w:t xml:space="preserve">1. </w:t>
      </w:r>
      <w:r>
        <w:rPr>
          <w:rFonts w:hint="eastAsia" w:ascii="Times New Roman" w:hAnsi="Times New Roman"/>
          <w:color w:val="auto"/>
          <w:highlight w:val="none"/>
        </w:rPr>
        <w:t>采购项目简介</w:t>
      </w:r>
      <w:bookmarkEnd w:id="5"/>
      <w:bookmarkEnd w:id="6"/>
    </w:p>
    <w:p>
      <w:pPr>
        <w:spacing w:line="400" w:lineRule="exact"/>
        <w:ind w:firstLine="420" w:firstLineChars="200"/>
        <w:rPr>
          <w:rFonts w:ascii="Times New Roman" w:hAnsi="Times New Roman"/>
          <w:color w:val="auto"/>
          <w:highlight w:val="none"/>
          <w:u w:val="single"/>
        </w:rPr>
      </w:pPr>
      <w:bookmarkStart w:id="7" w:name="_Toc501460633"/>
      <w:r>
        <w:rPr>
          <w:rFonts w:hint="eastAsia" w:ascii="Times New Roman" w:hAnsi="Times New Roman"/>
          <w:color w:val="auto"/>
          <w:highlight w:val="none"/>
        </w:rPr>
        <w:t>1</w:t>
      </w:r>
      <w:r>
        <w:rPr>
          <w:rFonts w:ascii="Times New Roman" w:hAnsi="Times New Roman"/>
          <w:color w:val="auto"/>
          <w:highlight w:val="none"/>
        </w:rPr>
        <w:t xml:space="preserve">.1 </w:t>
      </w:r>
      <w:r>
        <w:rPr>
          <w:rFonts w:hint="eastAsia" w:ascii="Times New Roman" w:hAnsi="Times New Roman"/>
          <w:color w:val="auto"/>
          <w:highlight w:val="none"/>
        </w:rPr>
        <w:t>采购项目名称：</w:t>
      </w:r>
      <w:r>
        <w:rPr>
          <w:rFonts w:hint="eastAsia" w:ascii="Times New Roman" w:hAnsi="Times New Roman"/>
          <w:color w:val="auto"/>
          <w:highlight w:val="none"/>
          <w:u w:val="single"/>
          <w:lang w:eastAsia="zh-CN"/>
        </w:rPr>
        <w:t>全自动煎药机采购项目</w:t>
      </w:r>
    </w:p>
    <w:p>
      <w:pPr>
        <w:spacing w:line="400" w:lineRule="exact"/>
        <w:ind w:firstLine="420" w:firstLineChars="200"/>
        <w:rPr>
          <w:rFonts w:ascii="Times New Roman" w:hAnsi="Times New Roman"/>
          <w:color w:val="auto"/>
          <w:highlight w:val="none"/>
          <w:u w:val="single"/>
        </w:rPr>
      </w:pPr>
      <w:r>
        <w:rPr>
          <w:rFonts w:hint="eastAsia" w:ascii="Times New Roman" w:hAnsi="Times New Roman"/>
          <w:color w:val="auto"/>
          <w:highlight w:val="none"/>
        </w:rPr>
        <w:t>1.2 采购人：</w:t>
      </w:r>
      <w:r>
        <w:rPr>
          <w:rFonts w:hint="eastAsia" w:ascii="Times New Roman" w:hAnsi="Times New Roman"/>
          <w:color w:val="auto"/>
          <w:highlight w:val="none"/>
          <w:u w:val="single"/>
          <w:lang w:eastAsia="zh-CN"/>
        </w:rPr>
        <w:t>郎溪县中医院</w:t>
      </w:r>
    </w:p>
    <w:p>
      <w:pPr>
        <w:spacing w:line="400" w:lineRule="exact"/>
        <w:ind w:firstLine="420" w:firstLineChars="200"/>
        <w:rPr>
          <w:rFonts w:ascii="Times New Roman" w:hAnsi="Times New Roman"/>
          <w:color w:val="auto"/>
          <w:highlight w:val="none"/>
          <w:u w:val="single"/>
        </w:rPr>
      </w:pPr>
      <w:r>
        <w:rPr>
          <w:rFonts w:hint="eastAsia" w:ascii="Times New Roman" w:hAnsi="Times New Roman"/>
          <w:color w:val="auto"/>
          <w:highlight w:val="none"/>
        </w:rPr>
        <w:t>1.</w:t>
      </w:r>
      <w:r>
        <w:rPr>
          <w:rFonts w:hint="eastAsia" w:ascii="Times New Roman" w:hAnsi="Times New Roman"/>
          <w:color w:val="auto"/>
          <w:highlight w:val="none"/>
          <w:lang w:val="en-US" w:eastAsia="zh-CN"/>
        </w:rPr>
        <w:t>3</w:t>
      </w:r>
      <w:r>
        <w:rPr>
          <w:rFonts w:hint="eastAsia" w:ascii="Times New Roman" w:hAnsi="Times New Roman"/>
          <w:color w:val="auto"/>
          <w:highlight w:val="none"/>
        </w:rPr>
        <w:t>采购项目</w:t>
      </w:r>
      <w:r>
        <w:rPr>
          <w:rFonts w:ascii="Times New Roman" w:hAnsi="Times New Roman"/>
          <w:color w:val="auto"/>
          <w:highlight w:val="none"/>
        </w:rPr>
        <w:t>资金</w:t>
      </w:r>
      <w:r>
        <w:rPr>
          <w:rFonts w:hint="eastAsia" w:ascii="Times New Roman" w:hAnsi="Times New Roman"/>
          <w:color w:val="auto"/>
          <w:highlight w:val="none"/>
        </w:rPr>
        <w:t>落实情况：</w:t>
      </w:r>
      <w:r>
        <w:rPr>
          <w:rFonts w:hint="eastAsia" w:ascii="Times New Roman" w:hAnsi="Times New Roman"/>
          <w:color w:val="auto"/>
          <w:highlight w:val="none"/>
          <w:u w:val="single"/>
          <w:lang w:val="en-US" w:eastAsia="zh-CN"/>
        </w:rPr>
        <w:t>已落实</w:t>
      </w:r>
    </w:p>
    <w:p>
      <w:pPr>
        <w:spacing w:line="400" w:lineRule="exact"/>
        <w:ind w:firstLine="420" w:firstLineChars="200"/>
        <w:rPr>
          <w:rFonts w:hint="default" w:ascii="Times New Roman" w:hAnsi="Times New Roman" w:eastAsia="宋体"/>
          <w:color w:val="auto"/>
          <w:highlight w:val="none"/>
          <w:u w:val="single"/>
          <w:lang w:val="en-US" w:eastAsia="zh-CN"/>
        </w:rPr>
      </w:pPr>
      <w:r>
        <w:rPr>
          <w:rFonts w:hint="eastAsia" w:ascii="Times New Roman" w:hAnsi="Times New Roman"/>
          <w:color w:val="auto"/>
          <w:highlight w:val="none"/>
        </w:rPr>
        <w:t>1.</w:t>
      </w:r>
      <w:r>
        <w:rPr>
          <w:rFonts w:hint="eastAsia" w:ascii="Times New Roman" w:hAnsi="Times New Roman"/>
          <w:color w:val="auto"/>
          <w:highlight w:val="none"/>
          <w:lang w:val="en-US" w:eastAsia="zh-CN"/>
        </w:rPr>
        <w:t>4</w:t>
      </w:r>
      <w:r>
        <w:rPr>
          <w:rFonts w:hint="eastAsia" w:ascii="Times New Roman" w:hAnsi="Times New Roman"/>
          <w:color w:val="auto"/>
          <w:highlight w:val="none"/>
        </w:rPr>
        <w:t xml:space="preserve"> 采购项目概况：</w:t>
      </w:r>
      <w:r>
        <w:rPr>
          <w:rFonts w:hint="eastAsia" w:ascii="Times New Roman" w:hAnsi="Times New Roman"/>
          <w:color w:val="auto"/>
          <w:highlight w:val="none"/>
          <w:u w:val="single"/>
          <w:lang w:val="en-US" w:eastAsia="zh-CN"/>
        </w:rPr>
        <w:t>全自动煎药机采购项目，郎溪县中医院拟选择一家供应商，采购二台全自动煎药机，具体详见询比文件。</w:t>
      </w:r>
    </w:p>
    <w:p>
      <w:pPr>
        <w:adjustRightInd w:val="0"/>
        <w:snapToGrid w:val="0"/>
        <w:spacing w:line="400" w:lineRule="exact"/>
        <w:ind w:firstLine="420" w:firstLineChars="200"/>
        <w:rPr>
          <w:rFonts w:ascii="Times New Roman" w:hAnsi="Times New Roman" w:eastAsia="宋体" w:cs="Times New Roman"/>
          <w:color w:val="auto"/>
          <w:highlight w:val="none"/>
          <w:u w:val="single"/>
        </w:rPr>
      </w:pPr>
      <w:r>
        <w:rPr>
          <w:rFonts w:ascii="Times New Roman" w:hAnsi="Times New Roman" w:eastAsia="宋体" w:cs="Times New Roman"/>
          <w:color w:val="auto"/>
          <w:highlight w:val="none"/>
        </w:rPr>
        <w:t>1.6成交供应商数量及成交份额：</w:t>
      </w:r>
      <w:r>
        <w:rPr>
          <w:rFonts w:ascii="Times New Roman" w:hAnsi="Times New Roman" w:eastAsia="宋体" w:cs="Times New Roman"/>
          <w:color w:val="auto"/>
          <w:highlight w:val="none"/>
          <w:u w:val="single"/>
        </w:rPr>
        <w:t>一家</w:t>
      </w:r>
    </w:p>
    <w:p>
      <w:pPr>
        <w:adjustRightInd w:val="0"/>
        <w:snapToGrid w:val="0"/>
        <w:spacing w:line="400" w:lineRule="exact"/>
        <w:ind w:firstLine="420" w:firstLineChars="200"/>
        <w:rPr>
          <w:rFonts w:hint="default" w:ascii="Times New Roman" w:hAnsi="Times New Roman" w:eastAsia="宋体" w:cs="Times New Roman"/>
          <w:color w:val="auto"/>
          <w:highlight w:val="none"/>
          <w:lang w:val="en-US"/>
        </w:rPr>
      </w:pPr>
      <w:r>
        <w:rPr>
          <w:rFonts w:hint="eastAsia" w:ascii="Times New Roman" w:hAnsi="Times New Roman" w:eastAsia="宋体" w:cs="Times New Roman"/>
          <w:color w:val="auto"/>
          <w:highlight w:val="none"/>
          <w:lang w:val="en-US" w:eastAsia="zh-CN"/>
        </w:rPr>
        <w:t xml:space="preserve">1.7 </w:t>
      </w:r>
      <w:r>
        <w:rPr>
          <w:rFonts w:hint="eastAsia" w:ascii="Times New Roman" w:hAnsi="Times New Roman" w:eastAsia="宋体" w:cs="Times New Roman"/>
          <w:color w:val="auto"/>
          <w:highlight w:val="none"/>
        </w:rPr>
        <w:t>预算金额：</w:t>
      </w:r>
      <w:r>
        <w:rPr>
          <w:rFonts w:hint="eastAsia" w:ascii="Times New Roman" w:hAnsi="Times New Roman"/>
          <w:color w:val="auto"/>
          <w:highlight w:val="none"/>
          <w:u w:val="single"/>
          <w:lang w:val="en-US" w:eastAsia="zh-CN"/>
        </w:rPr>
        <w:t>4万元</w:t>
      </w:r>
    </w:p>
    <w:p>
      <w:pPr>
        <w:adjustRightInd w:val="0"/>
        <w:snapToGrid w:val="0"/>
        <w:spacing w:line="400" w:lineRule="exact"/>
        <w:ind w:firstLine="420" w:firstLineChars="200"/>
        <w:rPr>
          <w:color w:val="auto"/>
          <w:highlight w:val="none"/>
          <w:u w:val="single"/>
        </w:rPr>
      </w:pPr>
      <w:r>
        <w:rPr>
          <w:rFonts w:hint="eastAsia" w:ascii="Times New Roman" w:hAnsi="Times New Roman" w:eastAsia="宋体" w:cs="Times New Roman"/>
          <w:color w:val="auto"/>
          <w:highlight w:val="none"/>
          <w:lang w:val="en-US" w:eastAsia="zh-CN"/>
        </w:rPr>
        <w:t xml:space="preserve">1.8 </w:t>
      </w:r>
      <w:r>
        <w:rPr>
          <w:rFonts w:hint="eastAsia" w:ascii="Times New Roman" w:hAnsi="Times New Roman" w:eastAsia="宋体" w:cs="Times New Roman"/>
          <w:color w:val="auto"/>
          <w:highlight w:val="none"/>
        </w:rPr>
        <w:t>最高限价：</w:t>
      </w:r>
      <w:r>
        <w:rPr>
          <w:rFonts w:hint="eastAsia" w:ascii="Times New Roman" w:hAnsi="Times New Roman" w:cs="Times New Roman"/>
          <w:color w:val="auto"/>
          <w:highlight w:val="none"/>
          <w:lang w:val="en-US" w:eastAsia="zh-CN"/>
        </w:rPr>
        <w:t>4</w:t>
      </w:r>
      <w:r>
        <w:rPr>
          <w:rFonts w:hint="eastAsia" w:ascii="Times New Roman" w:hAnsi="Times New Roman"/>
          <w:color w:val="auto"/>
          <w:highlight w:val="none"/>
          <w:u w:val="single"/>
          <w:lang w:val="en-US" w:eastAsia="zh-CN"/>
        </w:rPr>
        <w:t>万元</w:t>
      </w:r>
    </w:p>
    <w:bookmarkEnd w:id="7"/>
    <w:p>
      <w:pPr>
        <w:pStyle w:val="3"/>
        <w:spacing w:line="240" w:lineRule="auto"/>
        <w:rPr>
          <w:rFonts w:ascii="Times New Roman" w:hAnsi="Times New Roman"/>
          <w:color w:val="auto"/>
          <w:highlight w:val="none"/>
        </w:rPr>
      </w:pPr>
      <w:bookmarkStart w:id="8" w:name="_Toc501460653"/>
      <w:bookmarkStart w:id="9" w:name="_Toc5181"/>
      <w:r>
        <w:rPr>
          <w:rFonts w:ascii="Times New Roman" w:hAnsi="Times New Roman"/>
          <w:color w:val="auto"/>
          <w:highlight w:val="none"/>
        </w:rPr>
        <w:t xml:space="preserve">2. </w:t>
      </w:r>
      <w:r>
        <w:rPr>
          <w:rFonts w:hint="eastAsia" w:ascii="Times New Roman" w:hAnsi="Times New Roman"/>
          <w:color w:val="auto"/>
          <w:highlight w:val="none"/>
        </w:rPr>
        <w:t>采购范围及相关要求</w:t>
      </w:r>
      <w:bookmarkEnd w:id="8"/>
      <w:bookmarkEnd w:id="9"/>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 xml:space="preserve">2.1 </w:t>
      </w:r>
      <w:r>
        <w:rPr>
          <w:rFonts w:hint="eastAsia" w:ascii="Times New Roman" w:hAnsi="Times New Roman"/>
          <w:color w:val="auto"/>
          <w:highlight w:val="none"/>
        </w:rPr>
        <w:t>采购范围：</w:t>
      </w:r>
    </w:p>
    <w:tbl>
      <w:tblPr>
        <w:tblStyle w:val="3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859"/>
        <w:gridCol w:w="2392"/>
        <w:gridCol w:w="1821"/>
        <w:gridCol w:w="1483"/>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720" w:type="dxa"/>
            <w:gridSpan w:val="6"/>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b/>
                <w:bCs/>
                <w:i w:val="0"/>
                <w:iCs w:val="0"/>
                <w:color w:val="auto"/>
                <w:sz w:val="32"/>
                <w:szCs w:val="32"/>
                <w:highlight w:val="none"/>
                <w:u w:val="none"/>
                <w:lang w:val="en-US"/>
              </w:rPr>
            </w:pPr>
            <w:r>
              <w:rPr>
                <w:rFonts w:hint="eastAsia" w:ascii="黑体" w:hAnsi="黑体" w:eastAsia="黑体" w:cs="Times New Roman"/>
                <w:sz w:val="30"/>
                <w:szCs w:val="30"/>
                <w:highlight w:val="none"/>
                <w:lang w:val="en-US" w:eastAsia="zh-CN"/>
              </w:rPr>
              <w:t>全自动煎药机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78"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序号</w:t>
            </w:r>
          </w:p>
        </w:tc>
        <w:tc>
          <w:tcPr>
            <w:tcW w:w="1859"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名称</w:t>
            </w:r>
          </w:p>
        </w:tc>
        <w:tc>
          <w:tcPr>
            <w:tcW w:w="2392"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参考规格</w:t>
            </w:r>
          </w:p>
        </w:tc>
        <w:tc>
          <w:tcPr>
            <w:tcW w:w="182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单位</w:t>
            </w:r>
          </w:p>
        </w:tc>
        <w:tc>
          <w:tcPr>
            <w:tcW w:w="1483"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质保期</w:t>
            </w:r>
          </w:p>
        </w:tc>
        <w:tc>
          <w:tcPr>
            <w:tcW w:w="587"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78"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859"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fldChar w:fldCharType="begin"/>
            </w:r>
            <w:r>
              <w:rPr>
                <w:highlight w:val="none"/>
              </w:rPr>
              <w:instrText xml:space="preserve"> LINK Word.Document.8 "C:\\Users\\88469\\AppData\\Local\\Temp\\716询比采购文件.doc" "OLE_LINK1" \t \a  \* MERGEFORMAT</w:instrText>
            </w:r>
            <w:r>
              <w:rPr>
                <w:rFonts w:hint="eastAsia" w:ascii="宋体" w:hAnsi="宋体" w:eastAsia="宋体" w:cs="宋体"/>
                <w:i w:val="0"/>
                <w:iCs w:val="0"/>
                <w:color w:val="auto"/>
                <w:kern w:val="0"/>
                <w:sz w:val="22"/>
                <w:szCs w:val="22"/>
                <w:highlight w:val="none"/>
                <w:u w:val="none"/>
                <w:lang w:val="en-US" w:eastAsia="zh-CN" w:bidi="ar"/>
              </w:rPr>
              <w:fldChar w:fldCharType="separate"/>
            </w:r>
            <w:r>
              <w:rPr>
                <w:rFonts w:hint="eastAsia"/>
                <w:highlight w:val="none"/>
                <w:lang w:eastAsia="zh-CN"/>
              </w:rPr>
              <w:t>全自动煎药机</w:t>
            </w:r>
            <w:r>
              <w:rPr>
                <w:rFonts w:hint="eastAsia" w:ascii="宋体" w:hAnsi="宋体" w:eastAsia="宋体" w:cs="宋体"/>
                <w:i w:val="0"/>
                <w:iCs w:val="0"/>
                <w:color w:val="auto"/>
                <w:kern w:val="0"/>
                <w:sz w:val="22"/>
                <w:szCs w:val="22"/>
                <w:highlight w:val="none"/>
                <w:u w:val="none"/>
                <w:lang w:val="en-US" w:eastAsia="zh-CN" w:bidi="ar"/>
              </w:rPr>
              <w:fldChar w:fldCharType="end"/>
            </w:r>
          </w:p>
        </w:tc>
        <w:tc>
          <w:tcPr>
            <w:tcW w:w="2392"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详见采购需求</w:t>
            </w:r>
          </w:p>
        </w:tc>
        <w:tc>
          <w:tcPr>
            <w:tcW w:w="1821"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台</w:t>
            </w:r>
          </w:p>
        </w:tc>
        <w:tc>
          <w:tcPr>
            <w:tcW w:w="1483"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年</w:t>
            </w:r>
          </w:p>
        </w:tc>
        <w:tc>
          <w:tcPr>
            <w:tcW w:w="587" w:type="dxa"/>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bl>
    <w:p>
      <w:pPr>
        <w:spacing w:line="400" w:lineRule="exact"/>
        <w:ind w:firstLine="422" w:firstLineChars="200"/>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本次</w:t>
      </w:r>
      <w:r>
        <w:rPr>
          <w:rFonts w:hint="eastAsia" w:ascii="Times New Roman" w:hAnsi="Times New Roman" w:eastAsia="宋体" w:cs="Times New Roman"/>
          <w:b/>
          <w:bCs/>
          <w:color w:val="auto"/>
          <w:highlight w:val="none"/>
          <w:lang w:val="en-US" w:eastAsia="zh-CN"/>
        </w:rPr>
        <w:t>询比</w:t>
      </w:r>
      <w:r>
        <w:rPr>
          <w:rFonts w:hint="eastAsia" w:ascii="Times New Roman" w:hAnsi="Times New Roman" w:eastAsia="宋体" w:cs="Times New Roman"/>
          <w:b/>
          <w:bCs/>
          <w:color w:val="auto"/>
          <w:highlight w:val="none"/>
        </w:rPr>
        <w:t>范围包括</w:t>
      </w:r>
      <w:r>
        <w:rPr>
          <w:rFonts w:hint="eastAsia" w:ascii="Times New Roman" w:hAnsi="Times New Roman" w:eastAsia="宋体" w:cs="Times New Roman"/>
          <w:b/>
          <w:bCs/>
          <w:color w:val="auto"/>
          <w:highlight w:val="none"/>
          <w:lang w:val="en-US" w:eastAsia="zh-CN"/>
        </w:rPr>
        <w:t>询比</w:t>
      </w:r>
      <w:r>
        <w:rPr>
          <w:rFonts w:hint="eastAsia" w:ascii="Times New Roman" w:hAnsi="Times New Roman" w:eastAsia="宋体" w:cs="Times New Roman"/>
          <w:b/>
          <w:bCs/>
          <w:color w:val="auto"/>
          <w:highlight w:val="none"/>
        </w:rPr>
        <w:t>医疗设备的供货、包装运输（包括装卸至指定地点）、保险、安装（或组装）、检测、验收、培训、税金、技术服务、售后服务等内容。</w:t>
      </w:r>
    </w:p>
    <w:p>
      <w:pPr>
        <w:spacing w:line="400" w:lineRule="exact"/>
        <w:ind w:firstLine="422" w:firstLineChars="200"/>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投标人可对上述所有标包进行</w:t>
      </w:r>
      <w:r>
        <w:rPr>
          <w:rFonts w:hint="eastAsia" w:ascii="Times New Roman" w:hAnsi="Times New Roman" w:eastAsia="宋体" w:cs="Times New Roman"/>
          <w:b/>
          <w:bCs/>
          <w:color w:val="auto"/>
          <w:highlight w:val="none"/>
          <w:lang w:val="en-US" w:eastAsia="zh-CN"/>
        </w:rPr>
        <w:t>响应</w:t>
      </w:r>
      <w:r>
        <w:rPr>
          <w:rFonts w:hint="eastAsia" w:ascii="Times New Roman" w:hAnsi="Times New Roman" w:eastAsia="宋体" w:cs="Times New Roman"/>
          <w:b/>
          <w:bCs/>
          <w:color w:val="auto"/>
          <w:highlight w:val="none"/>
        </w:rPr>
        <w:t>，也可只对其中一个或几个标包进行</w:t>
      </w:r>
      <w:r>
        <w:rPr>
          <w:rFonts w:hint="eastAsia" w:ascii="Times New Roman" w:hAnsi="Times New Roman" w:eastAsia="宋体" w:cs="Times New Roman"/>
          <w:b/>
          <w:bCs/>
          <w:color w:val="auto"/>
          <w:highlight w:val="none"/>
          <w:lang w:val="en-US" w:eastAsia="zh-CN"/>
        </w:rPr>
        <w:t>响应</w:t>
      </w:r>
      <w:r>
        <w:rPr>
          <w:rFonts w:hint="eastAsia" w:ascii="Times New Roman" w:hAnsi="Times New Roman" w:eastAsia="宋体" w:cs="Times New Roman"/>
          <w:b/>
          <w:bCs/>
          <w:color w:val="auto"/>
          <w:highlight w:val="none"/>
        </w:rPr>
        <w:t>标，不限制</w:t>
      </w:r>
      <w:r>
        <w:rPr>
          <w:rFonts w:hint="eastAsia" w:ascii="Times New Roman" w:hAnsi="Times New Roman" w:eastAsia="宋体" w:cs="Times New Roman"/>
          <w:b/>
          <w:bCs/>
          <w:color w:val="auto"/>
          <w:highlight w:val="none"/>
          <w:lang w:val="en-US" w:eastAsia="zh-CN"/>
        </w:rPr>
        <w:t>成交</w:t>
      </w:r>
      <w:r>
        <w:rPr>
          <w:rFonts w:hint="eastAsia" w:ascii="Times New Roman" w:hAnsi="Times New Roman" w:eastAsia="宋体" w:cs="Times New Roman"/>
          <w:b/>
          <w:bCs/>
          <w:color w:val="auto"/>
          <w:highlight w:val="none"/>
        </w:rPr>
        <w:t>数量。</w:t>
      </w:r>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.2 交货期：</w:t>
      </w:r>
      <w:r>
        <w:rPr>
          <w:rFonts w:hint="eastAsia" w:ascii="Times New Roman" w:hAnsi="Times New Roman"/>
          <w:color w:val="auto"/>
          <w:highlight w:val="none"/>
          <w:u w:val="single"/>
          <w:lang w:eastAsia="zh-CN"/>
        </w:rPr>
        <w:t>合同签订后</w:t>
      </w:r>
      <w:r>
        <w:rPr>
          <w:rFonts w:hint="eastAsia" w:ascii="Times New Roman" w:hAnsi="Times New Roman"/>
          <w:color w:val="auto"/>
          <w:highlight w:val="none"/>
          <w:u w:val="single"/>
          <w:lang w:val="en-US" w:eastAsia="zh-CN"/>
        </w:rPr>
        <w:t>10日历天完成供货、安装、调试完成并经验收合格，并对采购的设备进行1年的质保期。</w:t>
      </w:r>
    </w:p>
    <w:p>
      <w:pPr>
        <w:spacing w:line="400" w:lineRule="exact"/>
        <w:ind w:firstLine="420" w:firstLineChars="200"/>
        <w:rPr>
          <w:rFonts w:hint="default" w:ascii="Times New Roman" w:hAnsi="Times New Roman" w:eastAsia="宋体"/>
          <w:color w:val="auto"/>
          <w:highlight w:val="none"/>
          <w:lang w:val="en-US" w:eastAsia="zh-CN"/>
        </w:rPr>
      </w:pPr>
      <w:r>
        <w:rPr>
          <w:rFonts w:hint="eastAsia" w:ascii="Times New Roman" w:hAnsi="Times New Roman"/>
          <w:color w:val="auto"/>
          <w:highlight w:val="none"/>
        </w:rPr>
        <w:t>2</w:t>
      </w:r>
      <w:r>
        <w:rPr>
          <w:rFonts w:ascii="Times New Roman" w:hAnsi="Times New Roman"/>
          <w:color w:val="auto"/>
          <w:highlight w:val="none"/>
        </w:rPr>
        <w:t>.3 交货地点：</w:t>
      </w:r>
      <w:r>
        <w:rPr>
          <w:rFonts w:hint="eastAsia" w:ascii="Times New Roman" w:hAnsi="Times New Roman"/>
          <w:color w:val="auto"/>
          <w:highlight w:val="none"/>
          <w:u w:val="single"/>
          <w:lang w:val="en-US" w:eastAsia="zh-CN"/>
        </w:rPr>
        <w:t>郎溪县中医院</w:t>
      </w:r>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 xml:space="preserve">.4 </w:t>
      </w:r>
      <w:r>
        <w:rPr>
          <w:rFonts w:hint="eastAsia" w:ascii="Times New Roman" w:hAnsi="Times New Roman"/>
          <w:color w:val="auto"/>
          <w:highlight w:val="none"/>
        </w:rPr>
        <w:t>货物质量标准或主要技术性能指标</w:t>
      </w:r>
      <w:r>
        <w:rPr>
          <w:rFonts w:ascii="Times New Roman" w:hAnsi="Times New Roman"/>
          <w:color w:val="auto"/>
          <w:highlight w:val="none"/>
        </w:rPr>
        <w:t>：</w:t>
      </w:r>
      <w:r>
        <w:rPr>
          <w:rFonts w:hint="eastAsia" w:ascii="Times New Roman" w:hAnsi="Times New Roman"/>
          <w:color w:val="auto"/>
          <w:highlight w:val="none"/>
          <w:u w:val="single"/>
          <w:lang w:eastAsia="zh-CN"/>
        </w:rPr>
        <w:t>合格，满足采购人要求。</w:t>
      </w:r>
    </w:p>
    <w:p>
      <w:pPr>
        <w:pStyle w:val="3"/>
        <w:spacing w:line="240" w:lineRule="auto"/>
        <w:rPr>
          <w:rFonts w:ascii="Times New Roman" w:hAnsi="Times New Roman"/>
          <w:color w:val="auto"/>
          <w:highlight w:val="none"/>
        </w:rPr>
      </w:pPr>
      <w:bookmarkStart w:id="10" w:name="_Toc501460634"/>
      <w:bookmarkStart w:id="11" w:name="_Toc11700"/>
      <w:r>
        <w:rPr>
          <w:rFonts w:ascii="Times New Roman" w:hAnsi="Times New Roman"/>
          <w:color w:val="auto"/>
          <w:highlight w:val="none"/>
        </w:rPr>
        <w:t xml:space="preserve">3. </w:t>
      </w:r>
      <w:r>
        <w:rPr>
          <w:rFonts w:hint="eastAsia" w:ascii="Times New Roman" w:hAnsi="Times New Roman"/>
          <w:color w:val="auto"/>
          <w:highlight w:val="none"/>
        </w:rPr>
        <w:t>供应商</w:t>
      </w:r>
      <w:r>
        <w:rPr>
          <w:rFonts w:ascii="Times New Roman" w:hAnsi="Times New Roman"/>
          <w:color w:val="auto"/>
          <w:highlight w:val="none"/>
        </w:rPr>
        <w:t>资格要求</w:t>
      </w:r>
      <w:bookmarkEnd w:id="10"/>
      <w:bookmarkEnd w:id="11"/>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3</w:t>
      </w:r>
      <w:r>
        <w:rPr>
          <w:rFonts w:ascii="Times New Roman" w:hAnsi="Times New Roman"/>
          <w:color w:val="auto"/>
          <w:highlight w:val="none"/>
        </w:rPr>
        <w:t>.1</w:t>
      </w:r>
      <w:r>
        <w:rPr>
          <w:rFonts w:hint="eastAsia" w:ascii="Times New Roman" w:hAnsi="Times New Roman"/>
          <w:color w:val="auto"/>
          <w:highlight w:val="none"/>
        </w:rPr>
        <w:t>供应商应依法设立且满足如下要求</w:t>
      </w:r>
      <w:r>
        <w:rPr>
          <w:rFonts w:ascii="Times New Roman" w:hAnsi="Times New Roman"/>
          <w:color w:val="auto"/>
          <w:highlight w:val="none"/>
        </w:rPr>
        <w:t>：</w:t>
      </w:r>
    </w:p>
    <w:p>
      <w:pPr>
        <w:numPr>
          <w:ilvl w:val="0"/>
          <w:numId w:val="1"/>
        </w:numPr>
        <w:spacing w:line="400" w:lineRule="exact"/>
        <w:ind w:firstLine="315" w:firstLineChars="150"/>
        <w:rPr>
          <w:rFonts w:ascii="Times New Roman" w:hAnsi="Times New Roman"/>
          <w:color w:val="auto"/>
          <w:highlight w:val="none"/>
        </w:rPr>
      </w:pPr>
      <w:r>
        <w:rPr>
          <w:rFonts w:ascii="Times New Roman" w:hAnsi="Times New Roman"/>
          <w:color w:val="auto"/>
          <w:highlight w:val="none"/>
        </w:rPr>
        <w:t>资质要求：</w:t>
      </w:r>
    </w:p>
    <w:p>
      <w:pPr>
        <w:numPr>
          <w:ilvl w:val="0"/>
          <w:numId w:val="0"/>
        </w:numPr>
        <w:spacing w:line="400" w:lineRule="exact"/>
        <w:ind w:firstLine="380" w:firstLineChars="200"/>
        <w:rPr>
          <w:rFonts w:hint="eastAsia" w:ascii="Times New Roman" w:hAnsi="Times New Roman"/>
          <w:color w:val="auto"/>
          <w:highlight w:val="none"/>
          <w:u w:val="single"/>
        </w:rPr>
      </w:pPr>
      <w:r>
        <w:rPr>
          <w:rFonts w:ascii="Arial" w:hAnsi="Arial" w:eastAsia="宋体" w:cs="Arial"/>
          <w:i w:val="0"/>
          <w:iCs w:val="0"/>
          <w:caps w:val="0"/>
          <w:color w:val="333333"/>
          <w:spacing w:val="0"/>
          <w:sz w:val="19"/>
          <w:szCs w:val="19"/>
          <w:highlight w:val="none"/>
          <w:u w:val="single"/>
          <w:shd w:val="clear" w:color="auto" w:fill="FFFFFF"/>
        </w:rPr>
        <w:t>①</w:t>
      </w:r>
      <w:r>
        <w:rPr>
          <w:rFonts w:hint="eastAsia" w:ascii="Times New Roman" w:hAnsi="Times New Roman"/>
          <w:color w:val="auto"/>
          <w:highlight w:val="none"/>
          <w:u w:val="single"/>
        </w:rPr>
        <w:t>在我国关境内注册的产品制造商或经销/代理商,具有有效的营业执照。</w:t>
      </w:r>
    </w:p>
    <w:p>
      <w:pPr>
        <w:numPr>
          <w:ilvl w:val="0"/>
          <w:numId w:val="0"/>
        </w:numPr>
        <w:spacing w:line="400" w:lineRule="exact"/>
        <w:ind w:firstLine="380" w:firstLineChars="200"/>
        <w:rPr>
          <w:rFonts w:hint="eastAsia" w:ascii="Times New Roman" w:hAnsi="Times New Roman"/>
          <w:color w:val="auto"/>
          <w:highlight w:val="none"/>
          <w:u w:val="single"/>
        </w:rPr>
      </w:pPr>
      <w:r>
        <w:rPr>
          <w:rFonts w:ascii="Arial" w:hAnsi="Arial" w:eastAsia="宋体" w:cs="Arial"/>
          <w:i w:val="0"/>
          <w:iCs w:val="0"/>
          <w:caps w:val="0"/>
          <w:color w:val="333333"/>
          <w:spacing w:val="0"/>
          <w:sz w:val="19"/>
          <w:szCs w:val="19"/>
          <w:highlight w:val="none"/>
          <w:u w:val="single"/>
          <w:shd w:val="clear" w:color="auto" w:fill="FFFFFF"/>
        </w:rPr>
        <w:t>②</w:t>
      </w:r>
      <w:r>
        <w:rPr>
          <w:rFonts w:hint="eastAsia" w:ascii="Times New Roman" w:hAnsi="Times New Roman"/>
          <w:color w:val="auto"/>
          <w:highlight w:val="none"/>
          <w:u w:val="single"/>
        </w:rPr>
        <w:t>所投产品制造商在中国关境内时：若所投产品为第二类和第三类医疗器械，应提供有效的医疗器械生产许可证；若所投产品为第一类医疗器械，须在响应文件中提供备案证明材料或承诺函，承诺在合同签订前提供其向所在地设区的市级负责药品监督管理部门完成生产备案的证明材料，若未按规定提供视为自动放弃成交资格；</w:t>
      </w:r>
    </w:p>
    <w:p>
      <w:pPr>
        <w:numPr>
          <w:ilvl w:val="0"/>
          <w:numId w:val="0"/>
        </w:numPr>
        <w:spacing w:line="400" w:lineRule="exact"/>
        <w:ind w:firstLine="380" w:firstLineChars="200"/>
        <w:rPr>
          <w:rFonts w:hint="eastAsia" w:ascii="Times New Roman" w:hAnsi="Times New Roman"/>
          <w:color w:val="auto"/>
          <w:highlight w:val="none"/>
          <w:u w:val="single"/>
        </w:rPr>
      </w:pPr>
      <w:r>
        <w:rPr>
          <w:rFonts w:ascii="Arial" w:hAnsi="Arial" w:eastAsia="宋体" w:cs="Arial"/>
          <w:i w:val="0"/>
          <w:iCs w:val="0"/>
          <w:caps w:val="0"/>
          <w:color w:val="333333"/>
          <w:spacing w:val="0"/>
          <w:sz w:val="19"/>
          <w:szCs w:val="19"/>
          <w:highlight w:val="none"/>
          <w:u w:val="single"/>
          <w:shd w:val="clear" w:color="auto" w:fill="FFFFFF"/>
        </w:rPr>
        <w:t>③</w:t>
      </w:r>
      <w:r>
        <w:rPr>
          <w:rFonts w:hint="eastAsia" w:ascii="Times New Roman" w:hAnsi="Times New Roman"/>
          <w:color w:val="auto"/>
          <w:highlight w:val="none"/>
          <w:u w:val="single"/>
        </w:rPr>
        <w:t>若所投产品为第二类和第三类医疗器械，所投产品须具有有效的医疗器械注册证；若所投产品为第一类医疗器械，须在响应文件中提供备案证明材料或承诺函，承诺在合同签订前提供其向相应药品监督管理部门完成产品备案的证明材料，若未按规定提供视为自动放弃中标资格。</w:t>
      </w:r>
    </w:p>
    <w:p>
      <w:pPr>
        <w:numPr>
          <w:ilvl w:val="0"/>
          <w:numId w:val="0"/>
        </w:numPr>
        <w:spacing w:line="400" w:lineRule="exact"/>
        <w:ind w:firstLine="380" w:firstLineChars="200"/>
        <w:rPr>
          <w:rFonts w:hint="eastAsia" w:ascii="Times New Roman" w:hAnsi="Times New Roman"/>
          <w:color w:val="auto"/>
          <w:highlight w:val="none"/>
          <w:u w:val="single"/>
        </w:rPr>
      </w:pPr>
      <w:r>
        <w:rPr>
          <w:rFonts w:ascii="Arial" w:hAnsi="Arial" w:eastAsia="宋体" w:cs="Arial"/>
          <w:i w:val="0"/>
          <w:iCs w:val="0"/>
          <w:caps w:val="0"/>
          <w:color w:val="333333"/>
          <w:spacing w:val="0"/>
          <w:sz w:val="19"/>
          <w:szCs w:val="19"/>
          <w:highlight w:val="none"/>
          <w:u w:val="single"/>
          <w:shd w:val="clear" w:color="auto" w:fill="FFFFFF"/>
        </w:rPr>
        <w:t>④</w:t>
      </w:r>
      <w:r>
        <w:rPr>
          <w:rFonts w:hint="eastAsia" w:ascii="Times New Roman" w:hAnsi="Times New Roman"/>
          <w:color w:val="auto"/>
          <w:highlight w:val="none"/>
          <w:u w:val="single"/>
        </w:rPr>
        <w:t>供应商非所投产品制造商时：</w:t>
      </w:r>
    </w:p>
    <w:p>
      <w:pPr>
        <w:spacing w:line="400" w:lineRule="exact"/>
        <w:ind w:firstLine="315" w:firstLineChars="150"/>
        <w:rPr>
          <w:rFonts w:hint="eastAsia" w:ascii="Times New Roman" w:hAnsi="Times New Roman" w:eastAsia="宋体"/>
          <w:color w:val="auto"/>
          <w:sz w:val="32"/>
          <w:szCs w:val="32"/>
          <w:highlight w:val="none"/>
          <w:u w:val="single"/>
          <w:lang w:val="en-US" w:eastAsia="zh-CN"/>
        </w:rPr>
      </w:pPr>
      <w:r>
        <w:rPr>
          <w:rFonts w:hint="eastAsia" w:ascii="Times New Roman" w:hAnsi="Times New Roman"/>
          <w:color w:val="auto"/>
          <w:highlight w:val="none"/>
          <w:u w:val="single"/>
        </w:rPr>
        <w:t>若所投产品为第三类医疗器械，应提供有效的医疗器械经营许可证；若所投产品为第二类医疗器械，须在响应文件中提供备案证明材料或承诺函，承诺在合同签订前提供其向所在地设区的市级负责药品监督管理部门完成经营备案的证明材料，若未按规定提供视为自动放弃成交资格；若所投产品在《免于经营备案的第二类医疗器械产品目录》中，可不提供备案证明材料或者承诺函，但需要响应文件中提供目录或说明；</w:t>
      </w:r>
    </w:p>
    <w:p>
      <w:pPr>
        <w:spacing w:line="400" w:lineRule="exact"/>
        <w:ind w:firstLine="315" w:firstLineChars="150"/>
        <w:rPr>
          <w:rFonts w:hint="default" w:ascii="Times New Roman" w:hAnsi="Times New Roman"/>
          <w:color w:val="auto"/>
          <w:highlight w:val="none"/>
          <w:u w:val="single"/>
          <w:lang w:val="en-US"/>
        </w:rPr>
      </w:pPr>
      <w:r>
        <w:rPr>
          <w:rFonts w:ascii="Times New Roman" w:hAnsi="Times New Roman"/>
          <w:color w:val="auto"/>
          <w:highlight w:val="none"/>
        </w:rPr>
        <w:t>（2）财务要求：</w:t>
      </w:r>
      <w:r>
        <w:rPr>
          <w:rFonts w:hint="eastAsia" w:ascii="Times New Roman" w:hAnsi="Times New Roman"/>
          <w:color w:val="auto"/>
          <w:highlight w:val="none"/>
          <w:u w:val="single"/>
          <w:lang w:val="en-US" w:eastAsia="zh-CN"/>
        </w:rPr>
        <w:t>无</w:t>
      </w:r>
    </w:p>
    <w:p>
      <w:pPr>
        <w:spacing w:line="400" w:lineRule="exact"/>
        <w:ind w:firstLine="315" w:firstLineChars="150"/>
        <w:rPr>
          <w:rFonts w:ascii="Times New Roman" w:hAnsi="Times New Roman"/>
          <w:color w:val="auto"/>
          <w:highlight w:val="none"/>
        </w:rPr>
      </w:pPr>
      <w:r>
        <w:rPr>
          <w:rFonts w:ascii="Times New Roman" w:hAnsi="Times New Roman"/>
          <w:color w:val="auto"/>
          <w:highlight w:val="none"/>
        </w:rPr>
        <w:t>（3）业绩要求：</w:t>
      </w:r>
      <w:r>
        <w:rPr>
          <w:rFonts w:hint="eastAsia" w:ascii="Times New Roman" w:hAnsi="Times New Roman"/>
          <w:color w:val="auto"/>
          <w:highlight w:val="none"/>
          <w:u w:val="single"/>
          <w:lang w:val="en-US" w:eastAsia="zh-CN"/>
        </w:rPr>
        <w:t>无</w:t>
      </w:r>
    </w:p>
    <w:p>
      <w:pPr>
        <w:spacing w:line="400" w:lineRule="exact"/>
        <w:ind w:firstLine="315" w:firstLineChars="150"/>
        <w:rPr>
          <w:rFonts w:hint="eastAsia" w:ascii="Times New Roman" w:hAnsi="Times New Roman"/>
          <w:color w:val="auto"/>
          <w:highlight w:val="none"/>
          <w:u w:val="single"/>
        </w:rPr>
      </w:pPr>
      <w:r>
        <w:rPr>
          <w:rFonts w:ascii="Times New Roman" w:hAnsi="Times New Roman"/>
          <w:color w:val="auto"/>
          <w:highlight w:val="none"/>
        </w:rPr>
        <w:t>（4）信誉要求：</w:t>
      </w:r>
      <w:r>
        <w:rPr>
          <w:rFonts w:hint="eastAsia" w:ascii="Times New Roman" w:hAnsi="Times New Roman"/>
          <w:color w:val="auto"/>
          <w:highlight w:val="none"/>
          <w:u w:val="single"/>
        </w:rPr>
        <w:t>截至提交首次响应文件截止时间，</w:t>
      </w:r>
      <w:r>
        <w:rPr>
          <w:rFonts w:hint="eastAsia" w:ascii="Times New Roman" w:hAnsi="Times New Roman"/>
          <w:color w:val="auto"/>
          <w:highlight w:val="none"/>
          <w:u w:val="single"/>
          <w:lang w:val="en-US" w:eastAsia="zh-CN"/>
        </w:rPr>
        <w:t>供应商</w:t>
      </w:r>
      <w:r>
        <w:rPr>
          <w:rFonts w:hint="eastAsia" w:ascii="Times New Roman" w:hAnsi="Times New Roman"/>
          <w:color w:val="auto"/>
          <w:highlight w:val="none"/>
          <w:u w:val="single"/>
        </w:rPr>
        <w:t>（不含其不具有独立法人资格的分支机构）存在下列有效情形之一的，其响应文件按无效处理。</w:t>
      </w:r>
    </w:p>
    <w:p>
      <w:pPr>
        <w:spacing w:line="400" w:lineRule="exact"/>
        <w:ind w:firstLine="315" w:firstLineChars="150"/>
        <w:rPr>
          <w:rFonts w:hint="eastAsia" w:ascii="Times New Roman" w:hAnsi="Times New Roman"/>
          <w:color w:val="auto"/>
          <w:highlight w:val="none"/>
          <w:u w:val="single"/>
        </w:rPr>
      </w:pPr>
      <w:r>
        <w:rPr>
          <w:rFonts w:hint="eastAsia" w:ascii="Times New Roman" w:hAnsi="Times New Roman"/>
          <w:color w:val="auto"/>
          <w:highlight w:val="none"/>
          <w:u w:val="single"/>
        </w:rPr>
        <w:t>①被人民法院列入失信被执行人名单的；</w:t>
      </w:r>
    </w:p>
    <w:p>
      <w:pPr>
        <w:spacing w:line="400" w:lineRule="exact"/>
        <w:ind w:firstLine="315" w:firstLineChars="150"/>
        <w:rPr>
          <w:rFonts w:hint="eastAsia" w:ascii="Times New Roman" w:hAnsi="Times New Roman"/>
          <w:color w:val="auto"/>
          <w:highlight w:val="none"/>
          <w:u w:val="single"/>
        </w:rPr>
      </w:pPr>
      <w:r>
        <w:rPr>
          <w:rFonts w:hint="eastAsia" w:ascii="Times New Roman" w:hAnsi="Times New Roman"/>
          <w:color w:val="auto"/>
          <w:highlight w:val="none"/>
          <w:u w:val="single"/>
        </w:rPr>
        <w:t>②被税务机关列入重大税收违法案件当事人名单的；</w:t>
      </w:r>
    </w:p>
    <w:p>
      <w:pPr>
        <w:spacing w:line="400" w:lineRule="exact"/>
        <w:ind w:firstLine="315" w:firstLineChars="150"/>
        <w:rPr>
          <w:rFonts w:hint="eastAsia" w:ascii="Times New Roman" w:hAnsi="Times New Roman"/>
          <w:color w:val="auto"/>
          <w:highlight w:val="none"/>
          <w:u w:val="single"/>
        </w:rPr>
      </w:pPr>
      <w:r>
        <w:rPr>
          <w:rFonts w:hint="eastAsia" w:ascii="Times New Roman" w:hAnsi="Times New Roman"/>
          <w:color w:val="auto"/>
          <w:highlight w:val="none"/>
          <w:u w:val="single"/>
        </w:rPr>
        <w:t>③被财政部门列入政府采购严重违法失信名单的；</w:t>
      </w:r>
    </w:p>
    <w:p>
      <w:pPr>
        <w:spacing w:line="400" w:lineRule="exact"/>
        <w:ind w:firstLine="315" w:firstLineChars="150"/>
        <w:rPr>
          <w:rFonts w:hint="eastAsia" w:ascii="Times New Roman" w:hAnsi="Times New Roman"/>
          <w:color w:val="auto"/>
          <w:highlight w:val="none"/>
          <w:u w:val="single"/>
        </w:rPr>
      </w:pPr>
      <w:r>
        <w:rPr>
          <w:rFonts w:hint="eastAsia" w:ascii="Times New Roman" w:hAnsi="Times New Roman"/>
          <w:color w:val="auto"/>
          <w:highlight w:val="none"/>
          <w:u w:val="single"/>
        </w:rPr>
        <w:t>④被市场监督管理部门（或工商行政管理部门）列入经营异常名录或者严重违法失信企业名单的（未按照《企业信息公示暂行条例》（国务院令第654号）第八条规定的期限公示年度报告被列入经营异常名录的除外）。</w:t>
      </w:r>
    </w:p>
    <w:p>
      <w:pPr>
        <w:spacing w:line="400" w:lineRule="exact"/>
        <w:ind w:firstLine="315" w:firstLineChars="150"/>
        <w:rPr>
          <w:rFonts w:ascii="Times New Roman" w:hAnsi="Times New Roman"/>
          <w:color w:val="auto"/>
          <w:highlight w:val="none"/>
        </w:rPr>
      </w:pPr>
      <w:r>
        <w:rPr>
          <w:rFonts w:hint="eastAsia" w:ascii="Times New Roman" w:hAnsi="Times New Roman"/>
          <w:color w:val="auto"/>
          <w:highlight w:val="none"/>
          <w:u w:val="single"/>
        </w:rPr>
        <w:t>注：“有效”是指“情形”规定的程度、起止期间处于有效状态。</w:t>
      </w:r>
      <w:r>
        <w:rPr>
          <w:rFonts w:hint="eastAsia" w:ascii="Times New Roman" w:hAnsi="Times New Roman"/>
          <w:color w:val="auto"/>
          <w:highlight w:val="none"/>
          <w:u w:val="single"/>
          <w:lang w:val="en-US" w:eastAsia="zh-CN"/>
        </w:rPr>
        <w:t>供应商</w:t>
      </w:r>
      <w:r>
        <w:rPr>
          <w:rFonts w:hint="eastAsia" w:ascii="Times New Roman" w:hAnsi="Times New Roman"/>
          <w:color w:val="auto"/>
          <w:highlight w:val="none"/>
          <w:u w:val="single"/>
        </w:rPr>
        <w:t xml:space="preserve">为联合体的，对供应商的要求视同对联合体成员的要求。 </w:t>
      </w:r>
    </w:p>
    <w:p>
      <w:pPr>
        <w:spacing w:line="400" w:lineRule="exact"/>
        <w:ind w:firstLine="315" w:firstLineChars="150"/>
        <w:rPr>
          <w:rFonts w:ascii="Times New Roman" w:hAnsi="Times New Roman"/>
          <w:color w:val="auto"/>
          <w:highlight w:val="none"/>
        </w:rPr>
      </w:pPr>
      <w:r>
        <w:rPr>
          <w:rFonts w:hint="eastAsia" w:ascii="Times New Roman" w:hAnsi="Times New Roman"/>
          <w:color w:val="auto"/>
          <w:highlight w:val="none"/>
        </w:rPr>
        <w:t>（5）承担本项目的主要人员要求</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如要求</w:t>
      </w:r>
      <w:r>
        <w:rPr>
          <w:rFonts w:hint="eastAsia" w:ascii="Times New Roman" w:hAnsi="Times New Roman"/>
          <w:color w:val="auto"/>
          <w:highlight w:val="none"/>
          <w:lang w:eastAsia="zh-CN"/>
        </w:rPr>
        <w:t>）</w:t>
      </w:r>
      <w:r>
        <w:rPr>
          <w:rFonts w:hint="eastAsia" w:ascii="Times New Roman" w:hAnsi="Times New Roman"/>
          <w:color w:val="auto"/>
          <w:highlight w:val="none"/>
        </w:rPr>
        <w:t>：</w:t>
      </w:r>
      <w:r>
        <w:rPr>
          <w:rFonts w:hint="eastAsia" w:ascii="Times New Roman" w:hAnsi="Times New Roman"/>
          <w:color w:val="auto"/>
          <w:highlight w:val="none"/>
          <w:u w:val="single"/>
          <w:lang w:val="en-US" w:eastAsia="zh-CN"/>
        </w:rPr>
        <w:t>无</w:t>
      </w:r>
    </w:p>
    <w:p>
      <w:pPr>
        <w:spacing w:line="400" w:lineRule="exact"/>
        <w:ind w:firstLine="315" w:firstLineChars="150"/>
        <w:rPr>
          <w:rFonts w:ascii="Times New Roman" w:hAnsi="Times New Roman"/>
          <w:color w:val="auto"/>
          <w:highlight w:val="none"/>
        </w:rPr>
      </w:pPr>
      <w:r>
        <w:rPr>
          <w:rFonts w:ascii="Times New Roman" w:hAnsi="Times New Roman"/>
          <w:color w:val="auto"/>
          <w:highlight w:val="none"/>
        </w:rPr>
        <w:t>（6）其他要求：</w:t>
      </w:r>
      <w:r>
        <w:rPr>
          <w:rFonts w:hint="eastAsia" w:ascii="Times New Roman" w:hAnsi="Times New Roman"/>
          <w:color w:val="auto"/>
          <w:highlight w:val="none"/>
          <w:u w:val="single"/>
          <w:lang w:val="en-US" w:eastAsia="zh-CN"/>
        </w:rPr>
        <w:t>无</w:t>
      </w:r>
      <w:r>
        <w:rPr>
          <w:rFonts w:ascii="Times New Roman" w:hAnsi="Times New Roman"/>
          <w:color w:val="auto"/>
          <w:highlight w:val="none"/>
        </w:rPr>
        <w:t>。</w:t>
      </w:r>
    </w:p>
    <w:p>
      <w:pPr>
        <w:spacing w:line="4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3.2</w:t>
      </w:r>
      <w:r>
        <w:rPr>
          <w:rFonts w:ascii="Times New Roman" w:hAnsi="Times New Roman"/>
          <w:color w:val="auto"/>
          <w:szCs w:val="21"/>
          <w:highlight w:val="none"/>
        </w:rPr>
        <w:t xml:space="preserve"> </w:t>
      </w:r>
      <w:r>
        <w:rPr>
          <w:rFonts w:hint="eastAsia" w:ascii="Times New Roman" w:hAnsi="Times New Roman"/>
          <w:color w:val="auto"/>
          <w:szCs w:val="21"/>
          <w:highlight w:val="none"/>
          <w:lang w:val="en-US" w:eastAsia="zh-CN"/>
        </w:rPr>
        <w:t>供应商</w:t>
      </w:r>
      <w:r>
        <w:rPr>
          <w:rFonts w:hint="eastAsia" w:ascii="Times New Roman" w:hAnsi="Times New Roman"/>
          <w:color w:val="auto"/>
          <w:szCs w:val="21"/>
          <w:highlight w:val="none"/>
        </w:rPr>
        <w:t>不得存在下列情形之一：</w:t>
      </w:r>
    </w:p>
    <w:p>
      <w:pPr>
        <w:spacing w:line="4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）处于被责令停产停</w:t>
      </w:r>
      <w:r>
        <w:rPr>
          <w:rFonts w:ascii="Times New Roman" w:hAnsi="Times New Roman"/>
          <w:color w:val="auto"/>
          <w:szCs w:val="21"/>
          <w:highlight w:val="none"/>
        </w:rPr>
        <w:t>业</w:t>
      </w:r>
      <w:r>
        <w:rPr>
          <w:rFonts w:hint="eastAsia" w:ascii="Times New Roman" w:hAnsi="Times New Roman"/>
          <w:color w:val="auto"/>
          <w:szCs w:val="21"/>
          <w:highlight w:val="none"/>
        </w:rPr>
        <w:t>、</w:t>
      </w:r>
      <w:r>
        <w:rPr>
          <w:rFonts w:ascii="Times New Roman" w:hAnsi="Times New Roman"/>
          <w:color w:val="auto"/>
          <w:szCs w:val="21"/>
          <w:highlight w:val="none"/>
        </w:rPr>
        <w:t>暂扣或者吊销执照</w:t>
      </w:r>
      <w:r>
        <w:rPr>
          <w:rFonts w:hint="eastAsia" w:ascii="Times New Roman" w:hAnsi="Times New Roman"/>
          <w:color w:val="auto"/>
          <w:szCs w:val="21"/>
          <w:highlight w:val="none"/>
        </w:rPr>
        <w:t>、</w:t>
      </w:r>
      <w:r>
        <w:rPr>
          <w:rFonts w:ascii="Times New Roman" w:hAnsi="Times New Roman"/>
          <w:color w:val="auto"/>
          <w:szCs w:val="21"/>
          <w:highlight w:val="none"/>
        </w:rPr>
        <w:t>暂扣或者吊销许可证</w:t>
      </w:r>
      <w:r>
        <w:rPr>
          <w:rFonts w:hint="eastAsia" w:ascii="Times New Roman" w:hAnsi="Times New Roman"/>
          <w:color w:val="auto"/>
          <w:szCs w:val="21"/>
          <w:highlight w:val="none"/>
        </w:rPr>
        <w:t>、吊销资质证书状态；</w:t>
      </w:r>
    </w:p>
    <w:p>
      <w:pPr>
        <w:spacing w:line="40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2</w:t>
      </w:r>
      <w:r>
        <w:rPr>
          <w:rFonts w:ascii="Times New Roman" w:hAnsi="Times New Roman"/>
          <w:color w:val="auto"/>
          <w:szCs w:val="21"/>
          <w:highlight w:val="none"/>
        </w:rPr>
        <w:t>）进入清算程序，或被宣告破产，或其他丧失履约能力的情形；</w:t>
      </w:r>
    </w:p>
    <w:p>
      <w:pPr>
        <w:spacing w:line="400" w:lineRule="exact"/>
        <w:ind w:firstLine="420" w:firstLineChars="200"/>
        <w:rPr>
          <w:rFonts w:hint="eastAsia" w:ascii="Times New Roman" w:hAnsi="Times New Roman" w:eastAsia="宋体"/>
          <w:color w:val="auto"/>
          <w:szCs w:val="21"/>
          <w:highlight w:val="none"/>
          <w:u w:val="single"/>
          <w:lang w:val="en-US" w:eastAsia="zh-CN"/>
        </w:rPr>
      </w:pPr>
      <w:r>
        <w:rPr>
          <w:rFonts w:ascii="Times New Roman" w:hAnsi="Times New Roman"/>
          <w:color w:val="auto"/>
          <w:szCs w:val="21"/>
          <w:highlight w:val="none"/>
        </w:rPr>
        <w:t>（</w:t>
      </w:r>
      <w:r>
        <w:rPr>
          <w:rFonts w:hint="eastAsia" w:ascii="Times New Roman" w:hAnsi="Times New Roman"/>
          <w:color w:val="auto"/>
          <w:szCs w:val="21"/>
          <w:highlight w:val="none"/>
        </w:rPr>
        <w:t>3</w:t>
      </w:r>
      <w:r>
        <w:rPr>
          <w:rFonts w:ascii="Times New Roman" w:hAnsi="Times New Roman"/>
          <w:color w:val="auto"/>
          <w:szCs w:val="21"/>
          <w:highlight w:val="none"/>
        </w:rPr>
        <w:t>）</w:t>
      </w:r>
      <w:r>
        <w:rPr>
          <w:rFonts w:hint="eastAsia" w:ascii="Times New Roman" w:hAnsi="Times New Roman"/>
          <w:color w:val="auto"/>
          <w:szCs w:val="21"/>
          <w:highlight w:val="none"/>
        </w:rPr>
        <w:t>其他：</w:t>
      </w:r>
      <w:r>
        <w:rPr>
          <w:rFonts w:hint="eastAsia" w:ascii="Times New Roman" w:hAnsi="Times New Roman"/>
          <w:color w:val="auto"/>
          <w:szCs w:val="21"/>
          <w:highlight w:val="none"/>
          <w:lang w:val="en-US" w:eastAsia="zh-CN"/>
        </w:rPr>
        <w:t>无。</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lang w:val="en-US" w:eastAsia="zh-CN"/>
        </w:rPr>
        <w:t>3</w:t>
      </w:r>
      <w:r>
        <w:rPr>
          <w:rFonts w:ascii="Times New Roman" w:hAnsi="Times New Roman"/>
          <w:color w:val="auto"/>
          <w:highlight w:val="none"/>
        </w:rPr>
        <w:t xml:space="preserve"> 本次</w:t>
      </w:r>
      <w:r>
        <w:rPr>
          <w:rFonts w:hint="eastAsia" w:ascii="Times New Roman" w:hAnsi="Times New Roman"/>
          <w:color w:val="auto"/>
          <w:highlight w:val="none"/>
        </w:rPr>
        <w:t>采购</w:t>
      </w:r>
      <w:r>
        <w:rPr>
          <w:rFonts w:ascii="Times New Roman" w:hAnsi="Times New Roman"/>
          <w:color w:val="auto"/>
          <w:highlight w:val="none"/>
          <w:u w:val="single"/>
        </w:rPr>
        <w:t>不接受</w:t>
      </w:r>
      <w:r>
        <w:rPr>
          <w:rFonts w:ascii="Times New Roman" w:hAnsi="Times New Roman"/>
          <w:color w:val="auto"/>
          <w:highlight w:val="none"/>
        </w:rPr>
        <w:t>联合体。</w:t>
      </w:r>
    </w:p>
    <w:p>
      <w:pPr>
        <w:pStyle w:val="3"/>
        <w:spacing w:line="240" w:lineRule="auto"/>
        <w:rPr>
          <w:rFonts w:ascii="Times New Roman" w:hAnsi="Times New Roman"/>
          <w:color w:val="auto"/>
          <w:highlight w:val="none"/>
        </w:rPr>
      </w:pPr>
      <w:bookmarkStart w:id="12" w:name="_Toc501460635"/>
      <w:bookmarkStart w:id="13" w:name="_Toc25674"/>
      <w:r>
        <w:rPr>
          <w:rFonts w:ascii="Times New Roman" w:hAnsi="Times New Roman"/>
          <w:color w:val="auto"/>
          <w:highlight w:val="none"/>
        </w:rPr>
        <w:t xml:space="preserve">4. </w:t>
      </w:r>
      <w:r>
        <w:rPr>
          <w:rFonts w:hint="eastAsia" w:ascii="Times New Roman" w:hAnsi="Times New Roman"/>
          <w:color w:val="auto"/>
          <w:highlight w:val="none"/>
        </w:rPr>
        <w:t>采购文件的获取</w:t>
      </w:r>
      <w:bookmarkEnd w:id="12"/>
      <w:bookmarkEnd w:id="13"/>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4.1文件获取时间：2025年0</w:t>
      </w:r>
      <w:r>
        <w:rPr>
          <w:rFonts w:hint="eastAsia" w:ascii="Times New Roman" w:hAnsi="Times New Roman"/>
          <w:color w:val="auto"/>
          <w:highlight w:val="none"/>
          <w:lang w:val="en-US" w:eastAsia="zh-CN"/>
        </w:rPr>
        <w:t>9</w:t>
      </w:r>
      <w:r>
        <w:rPr>
          <w:rFonts w:hint="eastAsia" w:ascii="Times New Roman" w:hAnsi="Times New Roman"/>
          <w:color w:val="auto"/>
          <w:highlight w:val="none"/>
        </w:rPr>
        <w:t>月</w:t>
      </w:r>
      <w:r>
        <w:rPr>
          <w:rFonts w:hint="eastAsia" w:ascii="Times New Roman" w:hAnsi="Times New Roman"/>
          <w:color w:val="auto"/>
          <w:highlight w:val="none"/>
          <w:lang w:val="en-US" w:eastAsia="zh-CN"/>
        </w:rPr>
        <w:t>15</w:t>
      </w:r>
      <w:r>
        <w:rPr>
          <w:rFonts w:hint="eastAsia" w:ascii="Times New Roman" w:hAnsi="Times New Roman"/>
          <w:color w:val="auto"/>
          <w:highlight w:val="none"/>
        </w:rPr>
        <w:t>日至2025年0</w:t>
      </w:r>
      <w:r>
        <w:rPr>
          <w:rFonts w:hint="eastAsia" w:ascii="Times New Roman" w:hAnsi="Times New Roman"/>
          <w:color w:val="auto"/>
          <w:highlight w:val="none"/>
          <w:lang w:val="en-US" w:eastAsia="zh-CN"/>
        </w:rPr>
        <w:t>9</w:t>
      </w:r>
      <w:r>
        <w:rPr>
          <w:rFonts w:hint="eastAsia" w:ascii="Times New Roman" w:hAnsi="Times New Roman"/>
          <w:color w:val="auto"/>
          <w:highlight w:val="none"/>
        </w:rPr>
        <w:t>月</w:t>
      </w:r>
      <w:r>
        <w:rPr>
          <w:rFonts w:hint="eastAsia" w:ascii="Times New Roman" w:hAnsi="Times New Roman"/>
          <w:color w:val="auto"/>
          <w:highlight w:val="none"/>
          <w:lang w:val="en-US" w:eastAsia="zh-CN"/>
        </w:rPr>
        <w:t>25</w:t>
      </w:r>
      <w:r>
        <w:rPr>
          <w:rFonts w:hint="eastAsia" w:ascii="Times New Roman" w:hAnsi="Times New Roman"/>
          <w:color w:val="auto"/>
          <w:highlight w:val="none"/>
        </w:rPr>
        <w:t>日，每天上午09:00至12:00，下午12:00至17:00(北京时间，法定节假日除外)；</w:t>
      </w:r>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4.2方式：凡有意参加投标的供应商应在</w:t>
      </w:r>
      <w:r>
        <w:rPr>
          <w:rFonts w:hint="eastAsia" w:ascii="Times New Roman" w:hAnsi="Times New Roman"/>
          <w:color w:val="auto"/>
          <w:highlight w:val="none"/>
          <w:lang w:val="en-US" w:eastAsia="zh-CN"/>
        </w:rPr>
        <w:t>2025年09月25日上午9:30前将投标文件送至郎溪县中医院医学装备科。</w:t>
      </w:r>
    </w:p>
    <w:p>
      <w:pPr>
        <w:pStyle w:val="3"/>
        <w:spacing w:line="240" w:lineRule="auto"/>
        <w:rPr>
          <w:rFonts w:ascii="Times New Roman" w:hAnsi="Times New Roman"/>
          <w:color w:val="auto"/>
          <w:highlight w:val="none"/>
        </w:rPr>
      </w:pPr>
      <w:bookmarkStart w:id="14" w:name="_Toc27467"/>
      <w:bookmarkStart w:id="15" w:name="_Toc501460636"/>
      <w:r>
        <w:rPr>
          <w:rFonts w:ascii="Times New Roman" w:hAnsi="Times New Roman"/>
          <w:color w:val="auto"/>
          <w:highlight w:val="none"/>
        </w:rPr>
        <w:t xml:space="preserve">5. </w:t>
      </w:r>
      <w:r>
        <w:rPr>
          <w:rFonts w:hint="eastAsia" w:ascii="Times New Roman" w:hAnsi="Times New Roman"/>
          <w:color w:val="auto"/>
          <w:highlight w:val="none"/>
        </w:rPr>
        <w:t>响应文件的递交</w:t>
      </w:r>
      <w:bookmarkEnd w:id="14"/>
      <w:bookmarkEnd w:id="15"/>
    </w:p>
    <w:p>
      <w:pPr>
        <w:spacing w:line="400" w:lineRule="exact"/>
        <w:ind w:firstLine="420" w:firstLineChars="200"/>
        <w:jc w:val="left"/>
        <w:rPr>
          <w:rFonts w:hint="eastAsia" w:ascii="Times New Roman" w:hAnsi="Times New Roman" w:eastAsia="宋体"/>
          <w:color w:val="auto"/>
          <w:highlight w:val="none"/>
          <w:u w:val="single"/>
          <w:lang w:eastAsia="zh-CN"/>
        </w:rPr>
      </w:pPr>
      <w:r>
        <w:rPr>
          <w:rFonts w:ascii="Times New Roman" w:hAnsi="Times New Roman"/>
          <w:color w:val="auto"/>
          <w:highlight w:val="none"/>
        </w:rPr>
        <w:t>5.1</w:t>
      </w:r>
      <w:r>
        <w:rPr>
          <w:rFonts w:hint="eastAsia" w:ascii="Times New Roman" w:hAnsi="Times New Roman"/>
          <w:color w:val="auto"/>
          <w:highlight w:val="none"/>
        </w:rPr>
        <w:t xml:space="preserve"> </w:t>
      </w:r>
      <w:r>
        <w:rPr>
          <w:rFonts w:hint="eastAsia" w:ascii="Times New Roman" w:hAnsi="Times New Roman"/>
          <w:color w:val="auto"/>
          <w:highlight w:val="none"/>
          <w:lang w:eastAsia="zh-CN"/>
        </w:rPr>
        <w:t>投标</w:t>
      </w:r>
      <w:r>
        <w:rPr>
          <w:rFonts w:hint="eastAsia" w:ascii="Times New Roman" w:hAnsi="Times New Roman"/>
          <w:color w:val="auto"/>
          <w:highlight w:val="none"/>
        </w:rPr>
        <w:t>文件</w:t>
      </w:r>
      <w:r>
        <w:rPr>
          <w:rFonts w:ascii="Times New Roman" w:hAnsi="Times New Roman"/>
          <w:color w:val="auto"/>
          <w:highlight w:val="none"/>
        </w:rPr>
        <w:t>递交的截止时间为</w:t>
      </w:r>
      <w:r>
        <w:rPr>
          <w:rFonts w:hint="eastAsia" w:ascii="Times New Roman" w:hAnsi="Times New Roman"/>
          <w:color w:val="auto"/>
          <w:highlight w:val="none"/>
          <w:u w:val="single"/>
          <w:lang w:val="en-US" w:eastAsia="zh-CN"/>
        </w:rPr>
        <w:t>2025</w:t>
      </w:r>
      <w:r>
        <w:rPr>
          <w:rFonts w:ascii="Times New Roman" w:hAnsi="Times New Roman"/>
          <w:color w:val="auto"/>
          <w:highlight w:val="none"/>
        </w:rPr>
        <w:t>年</w:t>
      </w:r>
      <w:r>
        <w:rPr>
          <w:rFonts w:hint="eastAsia" w:ascii="Times New Roman" w:hAnsi="Times New Roman"/>
          <w:color w:val="auto"/>
          <w:highlight w:val="none"/>
          <w:u w:val="single"/>
          <w:lang w:val="en-US" w:eastAsia="zh-CN"/>
        </w:rPr>
        <w:t>9</w:t>
      </w:r>
      <w:r>
        <w:rPr>
          <w:rFonts w:ascii="Times New Roman" w:hAnsi="Times New Roman"/>
          <w:color w:val="auto"/>
          <w:highlight w:val="none"/>
        </w:rPr>
        <w:t>月</w:t>
      </w:r>
      <w:r>
        <w:rPr>
          <w:rFonts w:hint="eastAsia" w:ascii="Times New Roman" w:hAnsi="Times New Roman"/>
          <w:color w:val="auto"/>
          <w:highlight w:val="none"/>
          <w:lang w:val="en-US" w:eastAsia="zh-CN"/>
        </w:rPr>
        <w:t>25</w:t>
      </w:r>
      <w:r>
        <w:rPr>
          <w:rFonts w:ascii="Times New Roman" w:hAnsi="Times New Roman"/>
          <w:color w:val="auto"/>
          <w:highlight w:val="none"/>
        </w:rPr>
        <w:t>日</w:t>
      </w:r>
      <w:r>
        <w:rPr>
          <w:rFonts w:hint="eastAsia" w:ascii="Times New Roman" w:hAnsi="Times New Roman"/>
          <w:color w:val="auto"/>
          <w:highlight w:val="none"/>
          <w:u w:val="single"/>
          <w:lang w:val="en-US" w:eastAsia="zh-CN"/>
        </w:rPr>
        <w:t>9</w:t>
      </w:r>
      <w:r>
        <w:rPr>
          <w:rFonts w:ascii="Times New Roman" w:hAnsi="Times New Roman"/>
          <w:color w:val="auto"/>
          <w:highlight w:val="none"/>
        </w:rPr>
        <w:t>时</w:t>
      </w:r>
      <w:r>
        <w:rPr>
          <w:rFonts w:hint="eastAsia" w:ascii="Times New Roman" w:hAnsi="Times New Roman"/>
          <w:color w:val="auto"/>
          <w:highlight w:val="none"/>
          <w:u w:val="single"/>
          <w:lang w:val="en-US" w:eastAsia="zh-CN"/>
        </w:rPr>
        <w:t>30</w:t>
      </w:r>
      <w:r>
        <w:rPr>
          <w:rFonts w:ascii="Times New Roman" w:hAnsi="Times New Roman"/>
          <w:color w:val="auto"/>
          <w:highlight w:val="none"/>
        </w:rPr>
        <w:t>分，</w:t>
      </w:r>
      <w:r>
        <w:rPr>
          <w:rFonts w:hint="eastAsia" w:ascii="Times New Roman" w:hAnsi="Times New Roman"/>
          <w:color w:val="auto"/>
          <w:highlight w:val="none"/>
        </w:rPr>
        <w:t>地点</w:t>
      </w:r>
      <w:r>
        <w:rPr>
          <w:rFonts w:hint="eastAsia" w:ascii="Times New Roman" w:hAnsi="Times New Roman"/>
          <w:color w:val="auto"/>
          <w:highlight w:val="none"/>
          <w:lang w:val="en-US" w:eastAsia="zh-CN"/>
        </w:rPr>
        <w:t>为</w:t>
      </w:r>
      <w:r>
        <w:rPr>
          <w:rFonts w:hint="eastAsia" w:ascii="Times New Roman" w:hAnsi="Times New Roman"/>
          <w:color w:val="auto"/>
          <w:highlight w:val="none"/>
        </w:rPr>
        <w:t>：</w:t>
      </w:r>
      <w:r>
        <w:rPr>
          <w:rFonts w:hint="eastAsia" w:ascii="Times New Roman" w:hAnsi="Times New Roman"/>
          <w:color w:val="auto"/>
          <w:highlight w:val="none"/>
          <w:u w:val="single"/>
          <w:lang w:val="en-US" w:eastAsia="zh-CN"/>
        </w:rPr>
        <w:t>郎溪县中医院医学装备科</w:t>
      </w:r>
      <w:r>
        <w:rPr>
          <w:rFonts w:hint="eastAsia" w:ascii="Times New Roman" w:hAnsi="Times New Roman"/>
          <w:color w:val="auto"/>
          <w:highlight w:val="none"/>
          <w:u w:val="single"/>
          <w:lang w:eastAsia="zh-CN"/>
        </w:rPr>
        <w:t>。</w:t>
      </w:r>
    </w:p>
    <w:p>
      <w:pPr>
        <w:spacing w:line="400" w:lineRule="exact"/>
        <w:ind w:firstLine="420" w:firstLineChars="200"/>
        <w:jc w:val="left"/>
        <w:rPr>
          <w:rFonts w:ascii="Times New Roman" w:hAnsi="Times New Roman"/>
          <w:color w:val="auto"/>
          <w:highlight w:val="none"/>
        </w:rPr>
      </w:pPr>
      <w:r>
        <w:rPr>
          <w:rFonts w:ascii="Times New Roman" w:hAnsi="Times New Roman"/>
          <w:color w:val="auto"/>
          <w:highlight w:val="none"/>
        </w:rPr>
        <w:t>5.2</w:t>
      </w:r>
      <w:r>
        <w:rPr>
          <w:rFonts w:hint="eastAsia" w:ascii="Times New Roman" w:hAnsi="Times New Roman"/>
          <w:color w:val="auto"/>
          <w:highlight w:val="none"/>
        </w:rPr>
        <w:t xml:space="preserve"> </w:t>
      </w:r>
      <w:r>
        <w:rPr>
          <w:rFonts w:ascii="Times New Roman" w:hAnsi="Times New Roman"/>
          <w:color w:val="auto"/>
          <w:highlight w:val="none"/>
        </w:rPr>
        <w:t>逾期送达的、未送达指定地点的</w:t>
      </w:r>
      <w:r>
        <w:rPr>
          <w:rFonts w:hint="eastAsia" w:ascii="Times New Roman" w:hAnsi="Times New Roman"/>
          <w:color w:val="auto"/>
          <w:highlight w:val="none"/>
        </w:rPr>
        <w:t>响应文件</w:t>
      </w:r>
      <w:r>
        <w:rPr>
          <w:rFonts w:ascii="Times New Roman" w:hAnsi="Times New Roman"/>
          <w:color w:val="auto"/>
          <w:highlight w:val="none"/>
        </w:rPr>
        <w:t>，</w:t>
      </w:r>
      <w:r>
        <w:rPr>
          <w:rFonts w:hint="eastAsia" w:ascii="Times New Roman" w:hAnsi="Times New Roman"/>
          <w:color w:val="auto"/>
          <w:highlight w:val="none"/>
        </w:rPr>
        <w:t>采购人</w:t>
      </w:r>
      <w:r>
        <w:rPr>
          <w:rFonts w:ascii="Times New Roman" w:hAnsi="Times New Roman"/>
          <w:color w:val="auto"/>
          <w:highlight w:val="none"/>
        </w:rPr>
        <w:t>将</w:t>
      </w:r>
      <w:r>
        <w:rPr>
          <w:rFonts w:hint="eastAsia" w:ascii="Times New Roman" w:hAnsi="Times New Roman"/>
          <w:color w:val="auto"/>
          <w:highlight w:val="none"/>
        </w:rPr>
        <w:t>拒绝接收</w:t>
      </w:r>
      <w:r>
        <w:rPr>
          <w:rFonts w:ascii="Times New Roman" w:hAnsi="Times New Roman"/>
          <w:color w:val="auto"/>
          <w:highlight w:val="none"/>
        </w:rPr>
        <w:t>。</w:t>
      </w:r>
    </w:p>
    <w:p>
      <w:pPr>
        <w:pStyle w:val="3"/>
        <w:spacing w:line="240" w:lineRule="auto"/>
        <w:rPr>
          <w:rFonts w:ascii="Times New Roman" w:hAnsi="Times New Roman"/>
          <w:color w:val="auto"/>
          <w:highlight w:val="none"/>
        </w:rPr>
      </w:pPr>
      <w:bookmarkStart w:id="16" w:name="_Toc31467"/>
      <w:bookmarkStart w:id="17" w:name="_Toc501460637"/>
      <w:r>
        <w:rPr>
          <w:rFonts w:hint="eastAsia" w:ascii="Times New Roman" w:hAnsi="Times New Roman"/>
          <w:color w:val="auto"/>
          <w:highlight w:val="none"/>
        </w:rPr>
        <w:t>6</w:t>
      </w:r>
      <w:r>
        <w:rPr>
          <w:rFonts w:ascii="Times New Roman" w:hAnsi="Times New Roman"/>
          <w:color w:val="auto"/>
          <w:highlight w:val="none"/>
        </w:rPr>
        <w:t xml:space="preserve">. </w:t>
      </w:r>
      <w:r>
        <w:rPr>
          <w:rFonts w:hint="eastAsia" w:ascii="Times New Roman" w:hAnsi="Times New Roman"/>
          <w:color w:val="auto"/>
          <w:highlight w:val="none"/>
        </w:rPr>
        <w:t>响应文件开启时间和地点</w:t>
      </w:r>
      <w:bookmarkEnd w:id="16"/>
    </w:p>
    <w:p>
      <w:pPr>
        <w:spacing w:line="400" w:lineRule="exact"/>
        <w:ind w:firstLine="420" w:firstLineChars="200"/>
        <w:jc w:val="left"/>
        <w:rPr>
          <w:rFonts w:ascii="Times New Roman" w:hAnsi="Times New Roman"/>
          <w:color w:val="auto"/>
          <w:highlight w:val="none"/>
        </w:rPr>
      </w:pPr>
      <w:r>
        <w:rPr>
          <w:rFonts w:hint="eastAsia" w:ascii="Times New Roman" w:hAnsi="Times New Roman"/>
          <w:color w:val="auto"/>
          <w:highlight w:val="none"/>
        </w:rPr>
        <w:t>响应文件开启在响应文件递交截止时间的同一时间进行，地点为响应文件递交地点。</w:t>
      </w:r>
    </w:p>
    <w:p>
      <w:pPr>
        <w:pStyle w:val="3"/>
        <w:spacing w:line="240" w:lineRule="auto"/>
        <w:rPr>
          <w:rFonts w:ascii="Times New Roman" w:hAnsi="Times New Roman"/>
          <w:color w:val="auto"/>
          <w:highlight w:val="none"/>
        </w:rPr>
      </w:pPr>
      <w:bookmarkStart w:id="18" w:name="_Toc12115"/>
      <w:r>
        <w:rPr>
          <w:rFonts w:hint="eastAsia" w:ascii="Times New Roman" w:hAnsi="Times New Roman"/>
          <w:color w:val="auto"/>
          <w:highlight w:val="none"/>
        </w:rPr>
        <w:t>7</w:t>
      </w:r>
      <w:r>
        <w:rPr>
          <w:rFonts w:ascii="Times New Roman" w:hAnsi="Times New Roman"/>
          <w:color w:val="auto"/>
          <w:highlight w:val="none"/>
        </w:rPr>
        <w:t xml:space="preserve">. </w:t>
      </w:r>
      <w:r>
        <w:rPr>
          <w:rFonts w:hint="eastAsia" w:ascii="Times New Roman" w:hAnsi="Times New Roman"/>
          <w:color w:val="auto"/>
          <w:highlight w:val="none"/>
        </w:rPr>
        <w:t>发布公告的媒介</w:t>
      </w:r>
      <w:bookmarkEnd w:id="17"/>
      <w:bookmarkEnd w:id="18"/>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本</w:t>
      </w:r>
      <w:r>
        <w:rPr>
          <w:rFonts w:hint="eastAsia" w:ascii="Times New Roman" w:hAnsi="Times New Roman"/>
          <w:color w:val="auto"/>
          <w:highlight w:val="none"/>
        </w:rPr>
        <w:t>询比采购</w:t>
      </w:r>
      <w:r>
        <w:rPr>
          <w:rFonts w:ascii="Times New Roman" w:hAnsi="Times New Roman"/>
          <w:color w:val="auto"/>
          <w:highlight w:val="none"/>
        </w:rPr>
        <w:t>公告在</w:t>
      </w:r>
      <w:r>
        <w:rPr>
          <w:rFonts w:hint="eastAsia" w:ascii="Times New Roman" w:hAnsi="Times New Roman" w:eastAsia="宋体" w:cs="Times New Roman"/>
          <w:color w:val="auto"/>
          <w:highlight w:val="none"/>
          <w:u w:val="single"/>
          <w:lang w:eastAsia="zh-CN"/>
        </w:rPr>
        <w:t>郎溪县中医院官网（www.lxxzyy.net</w:t>
      </w:r>
      <w:r>
        <w:rPr>
          <w:rFonts w:hint="eastAsia" w:ascii="Times New Roman" w:hAnsi="Times New Roman"/>
          <w:color w:val="auto"/>
          <w:highlight w:val="none"/>
          <w:u w:val="single"/>
          <w:lang w:eastAsia="zh-CN"/>
        </w:rPr>
        <w:t>）</w:t>
      </w:r>
      <w:r>
        <w:rPr>
          <w:rFonts w:ascii="Times New Roman" w:hAnsi="Times New Roman"/>
          <w:color w:val="auto"/>
          <w:highlight w:val="none"/>
        </w:rPr>
        <w:t>上发布。</w:t>
      </w:r>
    </w:p>
    <w:p>
      <w:pPr>
        <w:pStyle w:val="3"/>
        <w:spacing w:line="240" w:lineRule="auto"/>
        <w:rPr>
          <w:rFonts w:ascii="Times New Roman" w:hAnsi="Times New Roman"/>
          <w:color w:val="auto"/>
          <w:highlight w:val="none"/>
        </w:rPr>
      </w:pPr>
      <w:bookmarkStart w:id="19" w:name="_Toc501460638"/>
      <w:bookmarkStart w:id="20" w:name="_Toc6016"/>
      <w:r>
        <w:rPr>
          <w:rFonts w:hint="eastAsia" w:ascii="Times New Roman" w:hAnsi="Times New Roman"/>
          <w:color w:val="auto"/>
          <w:highlight w:val="none"/>
          <w:lang w:val="en-US" w:eastAsia="zh-CN"/>
        </w:rPr>
        <w:t>8</w:t>
      </w:r>
      <w:r>
        <w:rPr>
          <w:rFonts w:ascii="Times New Roman" w:hAnsi="Times New Roman"/>
          <w:color w:val="auto"/>
          <w:highlight w:val="none"/>
        </w:rPr>
        <w:t xml:space="preserve">. </w:t>
      </w:r>
      <w:r>
        <w:rPr>
          <w:rFonts w:hint="eastAsia" w:ascii="Times New Roman" w:hAnsi="Times New Roman"/>
          <w:color w:val="auto"/>
          <w:highlight w:val="none"/>
        </w:rPr>
        <w:t>联系方式</w:t>
      </w:r>
      <w:bookmarkEnd w:id="19"/>
      <w:bookmarkEnd w:id="20"/>
    </w:p>
    <w:bookmarkEnd w:id="2"/>
    <w:bookmarkEnd w:id="3"/>
    <w:bookmarkEnd w:id="4"/>
    <w:p>
      <w:pPr>
        <w:topLinePunct/>
        <w:spacing w:line="400" w:lineRule="exact"/>
        <w:ind w:firstLine="420" w:firstLineChars="200"/>
        <w:rPr>
          <w:rFonts w:hint="eastAsia" w:ascii="Times New Roman" w:hAnsi="Times New Roman" w:eastAsia="宋体"/>
          <w:color w:val="auto"/>
          <w:highlight w:val="none"/>
          <w:lang w:eastAsia="zh-CN"/>
        </w:rPr>
      </w:pPr>
      <w:bookmarkStart w:id="21" w:name="_Toc384308187"/>
      <w:bookmarkEnd w:id="21"/>
      <w:bookmarkStart w:id="22" w:name="_Toc361508563"/>
      <w:bookmarkEnd w:id="22"/>
      <w:bookmarkStart w:id="23" w:name="_Toc152045513"/>
      <w:bookmarkEnd w:id="23"/>
      <w:bookmarkStart w:id="24" w:name="_Toc30817"/>
      <w:bookmarkEnd w:id="24"/>
      <w:bookmarkStart w:id="25" w:name="_Toc152045512"/>
      <w:bookmarkEnd w:id="25"/>
      <w:bookmarkStart w:id="26" w:name="_Toc384308185"/>
      <w:bookmarkEnd w:id="26"/>
      <w:bookmarkStart w:id="27" w:name="_Toc352691455"/>
      <w:bookmarkEnd w:id="27"/>
      <w:bookmarkStart w:id="28" w:name="_Toc369531495"/>
      <w:bookmarkEnd w:id="28"/>
      <w:bookmarkStart w:id="29" w:name="_Toc361508562"/>
      <w:bookmarkEnd w:id="29"/>
      <w:bookmarkStart w:id="30" w:name="_Toc144974481"/>
      <w:bookmarkEnd w:id="30"/>
      <w:bookmarkStart w:id="31" w:name="_Toc361508560"/>
      <w:bookmarkEnd w:id="31"/>
      <w:bookmarkStart w:id="32" w:name="_Toc300834929"/>
      <w:bookmarkEnd w:id="32"/>
      <w:bookmarkStart w:id="33" w:name="_Toc247513935"/>
      <w:bookmarkEnd w:id="33"/>
      <w:bookmarkStart w:id="34" w:name="_Toc352691456"/>
      <w:bookmarkEnd w:id="34"/>
      <w:bookmarkStart w:id="35" w:name="_Toc17972"/>
      <w:bookmarkEnd w:id="35"/>
      <w:bookmarkStart w:id="36" w:name="_Toc152042289"/>
      <w:bookmarkEnd w:id="36"/>
      <w:bookmarkStart w:id="37" w:name="_Toc247527535"/>
      <w:bookmarkEnd w:id="37"/>
      <w:bookmarkStart w:id="38" w:name="_Toc10785"/>
      <w:bookmarkEnd w:id="38"/>
      <w:bookmarkStart w:id="39" w:name="_Toc369531497"/>
      <w:bookmarkEnd w:id="39"/>
      <w:bookmarkStart w:id="40" w:name="_Toc369531498"/>
      <w:bookmarkEnd w:id="40"/>
      <w:bookmarkStart w:id="41" w:name="_Toc300834930"/>
      <w:bookmarkEnd w:id="41"/>
      <w:bookmarkStart w:id="42" w:name="_Toc152042288"/>
      <w:bookmarkEnd w:id="42"/>
      <w:bookmarkStart w:id="43" w:name="_Toc247513934"/>
      <w:bookmarkEnd w:id="43"/>
      <w:bookmarkStart w:id="44" w:name="_Toc384308188"/>
      <w:bookmarkEnd w:id="44"/>
      <w:bookmarkStart w:id="45" w:name="_Toc247527536"/>
      <w:bookmarkEnd w:id="45"/>
      <w:bookmarkStart w:id="46" w:name="_Toc144974480"/>
      <w:bookmarkEnd w:id="46"/>
      <w:bookmarkStart w:id="47" w:name="_Toc352691453"/>
      <w:bookmarkEnd w:id="47"/>
      <w:bookmarkStart w:id="48" w:name="_Toc300834927"/>
      <w:bookmarkEnd w:id="48"/>
      <w:bookmarkStart w:id="49" w:name="_Toc247527537"/>
      <w:bookmarkStart w:id="50" w:name="_Toc369531499"/>
      <w:bookmarkStart w:id="51" w:name="_Toc247513936"/>
      <w:bookmarkStart w:id="52" w:name="_Toc384308189"/>
      <w:bookmarkStart w:id="53" w:name="_Toc300834931"/>
      <w:bookmarkStart w:id="54" w:name="_Toc2312"/>
      <w:bookmarkStart w:id="55" w:name="_Toc152042290"/>
      <w:bookmarkStart w:id="56" w:name="_Toc352691457"/>
      <w:bookmarkStart w:id="57" w:name="_Toc144974482"/>
      <w:bookmarkStart w:id="58" w:name="_Toc361508564"/>
      <w:bookmarkStart w:id="59" w:name="_Toc152045514"/>
      <w:r>
        <w:rPr>
          <w:rFonts w:hint="eastAsia" w:ascii="Times New Roman" w:hAnsi="Times New Roman"/>
          <w:color w:val="auto"/>
          <w:highlight w:val="none"/>
        </w:rPr>
        <w:t>采 购 人</w:t>
      </w:r>
      <w:r>
        <w:rPr>
          <w:rFonts w:ascii="Times New Roman" w:hAnsi="Times New Roman"/>
          <w:color w:val="auto"/>
          <w:highlight w:val="none"/>
        </w:rPr>
        <w:t>：</w:t>
      </w:r>
      <w:r>
        <w:rPr>
          <w:rFonts w:hint="eastAsia" w:ascii="Times New Roman" w:hAnsi="Times New Roman" w:eastAsia="宋体" w:cs="Times New Roman"/>
          <w:color w:val="auto"/>
          <w:highlight w:val="none"/>
          <w:u w:val="single"/>
          <w:lang w:eastAsia="zh-CN"/>
        </w:rPr>
        <w:t>郎溪县中医院</w:t>
      </w:r>
    </w:p>
    <w:p>
      <w:pPr>
        <w:topLinePunct/>
        <w:spacing w:line="400" w:lineRule="exact"/>
        <w:ind w:firstLine="420" w:firstLineChars="200"/>
        <w:rPr>
          <w:rFonts w:hint="eastAsia" w:ascii="Times New Roman" w:hAnsi="Times New Roman" w:eastAsia="宋体"/>
          <w:color w:val="auto"/>
          <w:highlight w:val="none"/>
          <w:lang w:eastAsia="zh-CN"/>
        </w:rPr>
      </w:pPr>
      <w:r>
        <w:rPr>
          <w:rFonts w:ascii="Times New Roman" w:hAnsi="Times New Roman"/>
          <w:color w:val="auto"/>
          <w:highlight w:val="none"/>
        </w:rPr>
        <w:t>地    址：</w:t>
      </w:r>
      <w:r>
        <w:rPr>
          <w:rFonts w:hint="eastAsia" w:ascii="Times New Roman" w:hAnsi="Times New Roman" w:eastAsia="宋体" w:cs="Times New Roman"/>
          <w:color w:val="auto"/>
          <w:highlight w:val="none"/>
          <w:u w:val="single"/>
          <w:lang w:eastAsia="zh-CN"/>
        </w:rPr>
        <w:t>郎溪县建平镇亭子山路99号</w:t>
      </w:r>
    </w:p>
    <w:p>
      <w:pPr>
        <w:topLinePunct/>
        <w:spacing w:line="400" w:lineRule="exact"/>
        <w:ind w:firstLine="420" w:firstLineChars="200"/>
        <w:rPr>
          <w:rFonts w:ascii="Times New Roman" w:hAnsi="Times New Roman"/>
          <w:color w:val="auto"/>
          <w:highlight w:val="none"/>
        </w:rPr>
      </w:pPr>
      <w:r>
        <w:rPr>
          <w:rFonts w:ascii="Times New Roman" w:hAnsi="Times New Roman"/>
          <w:color w:val="auto"/>
          <w:highlight w:val="none"/>
        </w:rPr>
        <w:t>联 系 人：</w:t>
      </w:r>
      <w:r>
        <w:rPr>
          <w:rFonts w:hint="eastAsia" w:ascii="Times New Roman" w:hAnsi="Times New Roman" w:eastAsia="宋体" w:cs="Times New Roman"/>
          <w:color w:val="auto"/>
          <w:highlight w:val="none"/>
          <w:u w:val="single"/>
          <w:lang w:val="en-US" w:eastAsia="zh-CN"/>
        </w:rPr>
        <w:t>段先生</w:t>
      </w:r>
    </w:p>
    <w:p>
      <w:pPr>
        <w:topLinePunct/>
        <w:spacing w:line="400" w:lineRule="exact"/>
        <w:ind w:firstLine="420" w:firstLineChars="200"/>
        <w:rPr>
          <w:rFonts w:ascii="Times New Roman" w:hAnsi="Times New Roman"/>
          <w:color w:val="auto"/>
          <w:highlight w:val="none"/>
        </w:rPr>
      </w:pPr>
      <w:r>
        <w:rPr>
          <w:rFonts w:ascii="Times New Roman" w:hAnsi="Times New Roman"/>
          <w:color w:val="auto"/>
          <w:highlight w:val="none"/>
        </w:rPr>
        <w:t>电    话：</w:t>
      </w:r>
      <w:r>
        <w:rPr>
          <w:rFonts w:hint="eastAsia" w:ascii="Times New Roman" w:hAnsi="Times New Roman" w:eastAsia="宋体" w:cs="Times New Roman"/>
          <w:color w:val="auto"/>
          <w:highlight w:val="none"/>
          <w:u w:val="single"/>
          <w:lang w:val="en-US" w:eastAsia="zh-CN"/>
        </w:rPr>
        <w:t>0563-7015797</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电子</w:t>
      </w:r>
      <w:r>
        <w:rPr>
          <w:rFonts w:hint="eastAsia" w:ascii="Times New Roman" w:hAnsi="Times New Roman"/>
          <w:color w:val="auto"/>
          <w:highlight w:val="none"/>
        </w:rPr>
        <w:t>邮箱</w:t>
      </w:r>
      <w:r>
        <w:rPr>
          <w:rFonts w:ascii="Times New Roman" w:hAnsi="Times New Roman"/>
          <w:color w:val="auto"/>
          <w:highlight w:val="none"/>
        </w:rPr>
        <w:t>：</w:t>
      </w:r>
      <w:r>
        <w:rPr>
          <w:rFonts w:hint="eastAsia" w:ascii="Times New Roman" w:hAnsi="Times New Roman" w:eastAsia="宋体" w:cs="Times New Roman"/>
          <w:color w:val="auto"/>
          <w:highlight w:val="none"/>
          <w:u w:val="single"/>
          <w:lang w:val="en-US" w:eastAsia="zh-CN"/>
        </w:rPr>
        <w:t>88469981@qq.com</w:t>
      </w:r>
    </w:p>
    <w:p>
      <w:pPr>
        <w:spacing w:line="400" w:lineRule="exact"/>
        <w:ind w:firstLine="420" w:firstLineChars="200"/>
        <w:rPr>
          <w:rFonts w:ascii="Times New Roman" w:hAnsi="Times New Roman"/>
          <w:color w:val="auto"/>
          <w:highlight w:val="none"/>
        </w:rPr>
      </w:pPr>
    </w:p>
    <w:bookmarkEnd w:id="49"/>
    <w:bookmarkEnd w:id="50"/>
    <w:bookmarkEnd w:id="51"/>
    <w:bookmarkEnd w:id="52"/>
    <w:bookmarkEnd w:id="53"/>
    <w:bookmarkEnd w:id="54"/>
    <w:bookmarkEnd w:id="55"/>
    <w:bookmarkEnd w:id="56"/>
    <w:bookmarkEnd w:id="57"/>
    <w:bookmarkEnd w:id="58"/>
    <w:bookmarkEnd w:id="59"/>
    <w:p>
      <w:pPr>
        <w:spacing w:line="400" w:lineRule="exact"/>
        <w:rPr>
          <w:rFonts w:hint="default" w:ascii="Times New Roman" w:hAnsi="Times New Roman" w:eastAsia="宋体"/>
          <w:color w:val="auto"/>
          <w:highlight w:val="none"/>
          <w:lang w:val="en-US" w:eastAsia="zh-CN"/>
        </w:rPr>
      </w:pPr>
    </w:p>
    <w:p>
      <w:pPr>
        <w:spacing w:line="400" w:lineRule="exact"/>
        <w:jc w:val="right"/>
        <w:rPr>
          <w:rFonts w:ascii="Times New Roman" w:hAnsi="Times New Roman"/>
          <w:color w:val="auto"/>
          <w:highlight w:val="none"/>
        </w:rPr>
      </w:pPr>
      <w:r>
        <w:rPr>
          <w:rFonts w:ascii="Times New Roman" w:hAnsi="Times New Roman"/>
          <w:color w:val="auto"/>
          <w:highlight w:val="none"/>
        </w:rPr>
        <w:t>　　　　　　　　　　　　　　　　　　　　　　　</w:t>
      </w:r>
      <w:r>
        <w:rPr>
          <w:rFonts w:ascii="Times New Roman" w:hAnsi="Times New Roman"/>
          <w:color w:val="auto"/>
          <w:highlight w:val="none"/>
          <w:u w:val="none"/>
        </w:rPr>
        <w:t>　</w:t>
      </w:r>
      <w:r>
        <w:rPr>
          <w:rFonts w:hint="eastAsia" w:ascii="Times New Roman" w:hAnsi="Times New Roman"/>
          <w:color w:val="auto"/>
          <w:highlight w:val="none"/>
          <w:u w:val="single"/>
          <w:lang w:val="en-US" w:eastAsia="zh-CN"/>
        </w:rPr>
        <w:t>2025</w:t>
      </w:r>
      <w:r>
        <w:rPr>
          <w:rFonts w:ascii="Times New Roman" w:hAnsi="Times New Roman"/>
          <w:color w:val="auto"/>
          <w:highlight w:val="none"/>
          <w:u w:val="single"/>
        </w:rPr>
        <w:t>年</w:t>
      </w:r>
      <w:r>
        <w:rPr>
          <w:rFonts w:hint="eastAsia" w:ascii="Times New Roman" w:hAnsi="Times New Roman"/>
          <w:color w:val="auto"/>
          <w:highlight w:val="none"/>
          <w:u w:val="single"/>
          <w:lang w:val="en-US" w:eastAsia="zh-CN"/>
        </w:rPr>
        <w:t>9</w:t>
      </w:r>
      <w:r>
        <w:rPr>
          <w:rFonts w:ascii="Times New Roman" w:hAnsi="Times New Roman"/>
          <w:color w:val="auto"/>
          <w:highlight w:val="none"/>
          <w:u w:val="single"/>
        </w:rPr>
        <w:t>月</w:t>
      </w:r>
      <w:r>
        <w:rPr>
          <w:rFonts w:hint="eastAsia" w:ascii="Times New Roman" w:hAnsi="Times New Roman"/>
          <w:color w:val="auto"/>
          <w:highlight w:val="none"/>
          <w:u w:val="single"/>
          <w:lang w:val="en-US" w:eastAsia="zh-CN"/>
        </w:rPr>
        <w:t>15</w:t>
      </w:r>
      <w:r>
        <w:rPr>
          <w:rFonts w:ascii="Times New Roman" w:hAnsi="Times New Roman"/>
          <w:color w:val="auto"/>
          <w:highlight w:val="none"/>
          <w:u w:val="single"/>
        </w:rPr>
        <w:t>日</w:t>
      </w:r>
    </w:p>
    <w:p>
      <w:pPr>
        <w:spacing w:line="400" w:lineRule="exact"/>
        <w:jc w:val="right"/>
        <w:rPr>
          <w:rFonts w:ascii="Times New Roman" w:hAnsi="Times New Roman"/>
          <w:color w:val="auto"/>
          <w:highlight w:val="none"/>
        </w:rPr>
      </w:pPr>
      <w:r>
        <w:rPr>
          <w:rFonts w:ascii="Times New Roman" w:hAnsi="Times New Roman"/>
          <w:color w:val="auto"/>
          <w:highlight w:val="none"/>
        </w:rPr>
        <w:br w:type="page"/>
      </w:r>
    </w:p>
    <w:p>
      <w:pPr>
        <w:pStyle w:val="2"/>
        <w:spacing w:line="240" w:lineRule="auto"/>
        <w:jc w:val="center"/>
        <w:rPr>
          <w:color w:val="auto"/>
          <w:highlight w:val="none"/>
        </w:rPr>
      </w:pPr>
      <w:bookmarkStart w:id="60" w:name="_Toc11855"/>
      <w:bookmarkStart w:id="61" w:name="_Toc501460648"/>
      <w:r>
        <w:rPr>
          <w:color w:val="auto"/>
          <w:highlight w:val="none"/>
        </w:rPr>
        <w:t>第二章</w:t>
      </w:r>
      <w:r>
        <w:rPr>
          <w:rFonts w:hint="eastAsia"/>
          <w:color w:val="auto"/>
          <w:highlight w:val="none"/>
        </w:rPr>
        <w:t xml:space="preserve">  供应商</w:t>
      </w:r>
      <w:r>
        <w:rPr>
          <w:color w:val="auto"/>
          <w:highlight w:val="none"/>
        </w:rPr>
        <w:t>须知</w:t>
      </w:r>
      <w:bookmarkEnd w:id="60"/>
      <w:bookmarkEnd w:id="61"/>
    </w:p>
    <w:p>
      <w:pPr>
        <w:pStyle w:val="3"/>
        <w:spacing w:line="240" w:lineRule="auto"/>
        <w:jc w:val="center"/>
        <w:rPr>
          <w:color w:val="auto"/>
          <w:highlight w:val="none"/>
        </w:rPr>
      </w:pPr>
      <w:bookmarkStart w:id="62" w:name="_Toc179632545"/>
      <w:bookmarkStart w:id="63" w:name="_Toc296602419"/>
      <w:bookmarkStart w:id="64" w:name="_Toc144974496"/>
      <w:bookmarkStart w:id="65" w:name="_Toc152045528"/>
      <w:bookmarkStart w:id="66" w:name="_Toc247085688"/>
      <w:bookmarkStart w:id="67" w:name="_Toc152042304"/>
      <w:bookmarkStart w:id="68" w:name="_Toc5256"/>
      <w:bookmarkStart w:id="69" w:name="_Toc246996917"/>
      <w:bookmarkStart w:id="70" w:name="_Toc246996174"/>
      <w:r>
        <w:rPr>
          <w:rFonts w:hint="eastAsia"/>
          <w:color w:val="auto"/>
          <w:highlight w:val="none"/>
        </w:rPr>
        <w:t>供应商须知前附表</w:t>
      </w:r>
      <w:bookmarkEnd w:id="62"/>
      <w:bookmarkEnd w:id="63"/>
      <w:bookmarkEnd w:id="64"/>
      <w:bookmarkEnd w:id="65"/>
      <w:bookmarkEnd w:id="66"/>
      <w:bookmarkEnd w:id="67"/>
      <w:bookmarkEnd w:id="68"/>
      <w:bookmarkEnd w:id="69"/>
      <w:bookmarkEnd w:id="70"/>
    </w:p>
    <w:tbl>
      <w:tblPr>
        <w:tblStyle w:val="36"/>
        <w:tblW w:w="8755" w:type="dxa"/>
        <w:tblInd w:w="0" w:type="dxa"/>
        <w:tblLayout w:type="fixed"/>
        <w:tblCellMar>
          <w:top w:w="0" w:type="dxa"/>
          <w:left w:w="108" w:type="dxa"/>
          <w:bottom w:w="0" w:type="dxa"/>
          <w:right w:w="108" w:type="dxa"/>
        </w:tblCellMar>
      </w:tblPr>
      <w:tblGrid>
        <w:gridCol w:w="1008"/>
        <w:gridCol w:w="3211"/>
        <w:gridCol w:w="4536"/>
      </w:tblGrid>
      <w:tr>
        <w:tblPrEx>
          <w:tblLayout w:type="fixed"/>
          <w:tblCellMar>
            <w:top w:w="0" w:type="dxa"/>
            <w:left w:w="108" w:type="dxa"/>
            <w:bottom w:w="0" w:type="dxa"/>
            <w:right w:w="108" w:type="dxa"/>
          </w:tblCellMar>
        </w:tblPrEx>
        <w:trPr>
          <w:trHeight w:val="567" w:hRule="atLeast"/>
          <w:tblHeader/>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b/>
                <w:color w:val="auto"/>
                <w:szCs w:val="21"/>
                <w:highlight w:val="none"/>
              </w:rPr>
            </w:pPr>
            <w:r>
              <w:rPr>
                <w:rFonts w:ascii="Times New Roman" w:hAnsi="Times New Roman" w:eastAsia="宋体"/>
                <w:b/>
                <w:color w:val="auto"/>
                <w:szCs w:val="21"/>
                <w:highlight w:val="none"/>
              </w:rPr>
              <w:t>条款号</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b/>
                <w:color w:val="auto"/>
                <w:szCs w:val="21"/>
                <w:highlight w:val="none"/>
              </w:rPr>
            </w:pPr>
            <w:r>
              <w:rPr>
                <w:rFonts w:ascii="Times New Roman" w:hAnsi="Times New Roman" w:eastAsia="宋体"/>
                <w:b/>
                <w:color w:val="auto"/>
                <w:szCs w:val="21"/>
                <w:highlight w:val="none"/>
              </w:rPr>
              <w:t>条  款  名  称</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b/>
                <w:color w:val="auto"/>
                <w:szCs w:val="21"/>
                <w:highlight w:val="none"/>
              </w:rPr>
            </w:pPr>
            <w:r>
              <w:rPr>
                <w:rFonts w:ascii="Times New Roman" w:hAnsi="Times New Roman" w:eastAsia="宋体"/>
                <w:b/>
                <w:color w:val="auto"/>
                <w:szCs w:val="21"/>
                <w:highlight w:val="none"/>
              </w:rPr>
              <w:t>编  列  内  容</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1.7.1</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踏勘现场</w:t>
            </w:r>
          </w:p>
        </w:tc>
        <w:tc>
          <w:tcPr>
            <w:tcW w:w="4536" w:type="dxa"/>
            <w:tcBorders>
              <w:top w:val="single" w:color="auto" w:sz="4" w:space="0"/>
              <w:left w:val="single" w:color="auto" w:sz="4" w:space="0"/>
              <w:bottom w:val="single" w:color="auto" w:sz="4" w:space="0"/>
              <w:right w:val="single" w:color="auto" w:sz="4" w:space="0"/>
            </w:tcBorders>
            <w:vAlign w:val="center"/>
          </w:tcPr>
          <w:p>
            <w:pPr>
              <w:pStyle w:val="11"/>
              <w:topLinePunct/>
              <w:snapToGrid w:val="0"/>
              <w:rPr>
                <w:rFonts w:ascii="Times New Roman" w:hAnsi="Times New Roman" w:eastAsia="宋体"/>
                <w:color w:val="auto"/>
                <w:sz w:val="21"/>
                <w:szCs w:val="21"/>
                <w:highlight w:val="none"/>
              </w:rPr>
            </w:pPr>
            <w:r>
              <w:rPr>
                <w:rFonts w:ascii="Times New Roman" w:hAnsi="Times New Roman" w:eastAsia="宋体"/>
                <w:color w:val="auto"/>
                <w:highlight w:val="none"/>
              </w:rPr>
              <w:sym w:font="Wingdings 2" w:char="0052"/>
            </w:r>
            <w:r>
              <w:rPr>
                <w:rFonts w:ascii="Times New Roman" w:hAnsi="Times New Roman" w:eastAsia="宋体"/>
                <w:color w:val="auto"/>
                <w:sz w:val="21"/>
                <w:szCs w:val="21"/>
                <w:highlight w:val="none"/>
              </w:rPr>
              <w:t>不组织</w:t>
            </w:r>
          </w:p>
          <w:p>
            <w:pPr>
              <w:snapToGrid w:val="0"/>
              <w:rPr>
                <w:rFonts w:ascii="Times New Roman" w:hAnsi="Times New Roman" w:eastAsia="宋体"/>
                <w:color w:val="auto"/>
                <w:szCs w:val="21"/>
                <w:highlight w:val="none"/>
              </w:rPr>
            </w:pPr>
            <w:r>
              <w:rPr>
                <w:rFonts w:ascii="Times New Roman" w:hAnsi="Times New Roman" w:eastAsia="宋体"/>
                <w:color w:val="auto"/>
                <w:highlight w:val="none"/>
              </w:rPr>
              <w:sym w:font="Wingdings 2" w:char="00A3"/>
            </w:r>
            <w:r>
              <w:rPr>
                <w:rFonts w:ascii="Times New Roman" w:hAnsi="Times New Roman" w:eastAsia="宋体"/>
                <w:color w:val="auto"/>
                <w:szCs w:val="21"/>
                <w:highlight w:val="none"/>
              </w:rPr>
              <w:t>组织，踏勘时间：</w:t>
            </w:r>
          </w:p>
          <w:p>
            <w:pPr>
              <w:snapToGrid w:val="0"/>
              <w:rPr>
                <w:rFonts w:ascii="Times New Roman" w:hAnsi="Times New Roman" w:eastAsia="宋体"/>
                <w:color w:val="auto"/>
                <w:szCs w:val="21"/>
                <w:highlight w:val="none"/>
              </w:rPr>
            </w:pPr>
            <w:r>
              <w:rPr>
                <w:rFonts w:ascii="Times New Roman" w:hAnsi="Times New Roman" w:eastAsia="宋体"/>
                <w:color w:val="auto"/>
                <w:szCs w:val="21"/>
                <w:highlight w:val="none"/>
              </w:rPr>
              <w:t xml:space="preserve">        踏勘集中地点：</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1.8</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询比采购预备会</w:t>
            </w:r>
          </w:p>
        </w:tc>
        <w:tc>
          <w:tcPr>
            <w:tcW w:w="4536" w:type="dxa"/>
            <w:tcBorders>
              <w:top w:val="single" w:color="auto" w:sz="4" w:space="0"/>
              <w:left w:val="single" w:color="auto" w:sz="4" w:space="0"/>
              <w:bottom w:val="single" w:color="auto" w:sz="4" w:space="0"/>
              <w:right w:val="single" w:color="auto" w:sz="4" w:space="0"/>
            </w:tcBorders>
            <w:vAlign w:val="center"/>
          </w:tcPr>
          <w:p>
            <w:pPr>
              <w:pStyle w:val="11"/>
              <w:topLinePunct/>
              <w:snapToGrid w:val="0"/>
              <w:rPr>
                <w:rFonts w:ascii="Times New Roman" w:hAnsi="Times New Roman" w:eastAsia="宋体"/>
                <w:color w:val="auto"/>
                <w:sz w:val="21"/>
                <w:szCs w:val="21"/>
                <w:highlight w:val="none"/>
              </w:rPr>
            </w:pPr>
            <w:r>
              <w:rPr>
                <w:rFonts w:ascii="Times New Roman" w:hAnsi="Times New Roman" w:eastAsia="宋体"/>
                <w:color w:val="auto"/>
                <w:highlight w:val="none"/>
              </w:rPr>
              <w:sym w:font="Wingdings 2" w:char="0052"/>
            </w:r>
            <w:r>
              <w:rPr>
                <w:rFonts w:ascii="Times New Roman" w:hAnsi="Times New Roman" w:eastAsia="宋体"/>
                <w:color w:val="auto"/>
                <w:sz w:val="21"/>
                <w:szCs w:val="21"/>
                <w:highlight w:val="none"/>
              </w:rPr>
              <w:t>不召开</w:t>
            </w:r>
          </w:p>
          <w:p>
            <w:pPr>
              <w:snapToGrid w:val="0"/>
              <w:rPr>
                <w:rFonts w:ascii="Times New Roman" w:hAnsi="Times New Roman" w:eastAsia="宋体"/>
                <w:color w:val="auto"/>
                <w:szCs w:val="21"/>
                <w:highlight w:val="none"/>
              </w:rPr>
            </w:pPr>
            <w:r>
              <w:rPr>
                <w:rFonts w:ascii="Times New Roman" w:hAnsi="Times New Roman" w:eastAsia="宋体"/>
                <w:color w:val="auto"/>
                <w:highlight w:val="none"/>
              </w:rPr>
              <w:sym w:font="Wingdings 2" w:char="00A3"/>
            </w:r>
            <w:r>
              <w:rPr>
                <w:rFonts w:ascii="Times New Roman" w:hAnsi="Times New Roman" w:eastAsia="宋体"/>
                <w:color w:val="auto"/>
                <w:szCs w:val="21"/>
                <w:highlight w:val="none"/>
              </w:rPr>
              <w:t>召开，召开时间：</w:t>
            </w:r>
          </w:p>
          <w:p>
            <w:pPr>
              <w:pStyle w:val="11"/>
              <w:topLinePunct/>
              <w:snapToGrid w:val="0"/>
              <w:rPr>
                <w:rFonts w:ascii="Times New Roman" w:hAnsi="Times New Roman" w:eastAsia="宋体"/>
                <w:color w:val="auto"/>
                <w:szCs w:val="21"/>
                <w:highlight w:val="none"/>
              </w:rPr>
            </w:pPr>
            <w:r>
              <w:rPr>
                <w:rFonts w:ascii="Times New Roman" w:hAnsi="Times New Roman" w:eastAsia="宋体"/>
                <w:color w:val="auto"/>
                <w:szCs w:val="21"/>
                <w:highlight w:val="none"/>
              </w:rPr>
              <w:t xml:space="preserve">       </w:t>
            </w:r>
            <w:r>
              <w:rPr>
                <w:rFonts w:ascii="Times New Roman" w:hAnsi="Times New Roman" w:eastAsia="宋体"/>
                <w:color w:val="auto"/>
                <w:sz w:val="21"/>
                <w:szCs w:val="21"/>
                <w:highlight w:val="none"/>
              </w:rPr>
              <w:t>召开地点：</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1.10.2</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highlight w:val="none"/>
              </w:rPr>
              <w:t>对非关键条款的</w:t>
            </w:r>
            <w:r>
              <w:rPr>
                <w:rFonts w:ascii="Times New Roman" w:hAnsi="Times New Roman" w:eastAsia="宋体"/>
                <w:color w:val="auto"/>
                <w:szCs w:val="21"/>
                <w:highlight w:val="none"/>
              </w:rPr>
              <w:t>偏差</w:t>
            </w:r>
          </w:p>
        </w:tc>
        <w:tc>
          <w:tcPr>
            <w:tcW w:w="4536" w:type="dxa"/>
            <w:tcBorders>
              <w:top w:val="single" w:color="auto" w:sz="4" w:space="0"/>
              <w:left w:val="single" w:color="auto" w:sz="4" w:space="0"/>
              <w:bottom w:val="single" w:color="auto" w:sz="4" w:space="0"/>
              <w:right w:val="single" w:color="auto" w:sz="4" w:space="0"/>
            </w:tcBorders>
            <w:vAlign w:val="center"/>
          </w:tcPr>
          <w:p>
            <w:pPr>
              <w:pStyle w:val="11"/>
              <w:topLinePunct/>
              <w:snapToGrid w:val="0"/>
              <w:rPr>
                <w:rFonts w:hint="eastAsia" w:ascii="Times New Roman" w:hAnsi="Times New Roman" w:eastAsia="宋体"/>
                <w:color w:val="auto"/>
                <w:sz w:val="21"/>
                <w:szCs w:val="21"/>
                <w:highlight w:val="none"/>
                <w:lang w:val="en-US" w:eastAsia="zh-CN"/>
              </w:rPr>
            </w:pPr>
            <w:r>
              <w:rPr>
                <w:rFonts w:ascii="Times New Roman" w:hAnsi="Times New Roman" w:eastAsia="宋体"/>
                <w:color w:val="auto"/>
                <w:sz w:val="21"/>
                <w:szCs w:val="21"/>
                <w:highlight w:val="none"/>
              </w:rPr>
              <w:t>允许偏差的范围：</w:t>
            </w:r>
            <w:r>
              <w:rPr>
                <w:rFonts w:hint="eastAsia" w:ascii="Times New Roman" w:hAnsi="Times New Roman"/>
                <w:color w:val="auto"/>
                <w:sz w:val="21"/>
                <w:szCs w:val="21"/>
                <w:highlight w:val="none"/>
                <w:lang w:val="en-US" w:eastAsia="zh-CN"/>
              </w:rPr>
              <w:t>/</w:t>
            </w:r>
          </w:p>
          <w:p>
            <w:pPr>
              <w:pStyle w:val="11"/>
              <w:topLinePunct/>
              <w:snapToGrid w:val="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允许偏差的项数：</w:t>
            </w:r>
            <w:r>
              <w:rPr>
                <w:rFonts w:hint="eastAsia" w:ascii="Times New Roman" w:hAnsi="Times New Roman"/>
                <w:color w:val="auto"/>
                <w:sz w:val="21"/>
                <w:szCs w:val="21"/>
                <w:highlight w:val="none"/>
                <w:u w:val="single"/>
                <w:lang w:val="en-US" w:eastAsia="zh-CN"/>
              </w:rPr>
              <w:t>/</w:t>
            </w:r>
            <w:r>
              <w:rPr>
                <w:rFonts w:ascii="Times New Roman" w:hAnsi="Times New Roman" w:eastAsia="宋体"/>
                <w:color w:val="auto"/>
                <w:sz w:val="21"/>
                <w:szCs w:val="21"/>
                <w:highlight w:val="none"/>
              </w:rPr>
              <w:t>项</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2.1（7）</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构成采购文件的其他资料</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Times New Roman" w:hAnsi="Times New Roman" w:eastAsia="宋体"/>
                <w:color w:val="auto"/>
                <w:szCs w:val="21"/>
                <w:highlight w:val="none"/>
                <w:lang w:val="en-US" w:eastAsia="zh-CN"/>
              </w:rPr>
            </w:pPr>
            <w:r>
              <w:rPr>
                <w:rFonts w:ascii="Times New Roman" w:hAnsi="Times New Roman" w:eastAsia="宋体"/>
                <w:color w:val="auto"/>
                <w:szCs w:val="21"/>
                <w:highlight w:val="none"/>
              </w:rPr>
              <w:t>资料名称：</w:t>
            </w:r>
            <w:r>
              <w:rPr>
                <w:rFonts w:hint="eastAsia" w:ascii="Times New Roman" w:hAnsi="Times New Roman"/>
                <w:color w:val="auto"/>
                <w:szCs w:val="21"/>
                <w:highlight w:val="none"/>
                <w:lang w:val="en-US" w:eastAsia="zh-CN"/>
              </w:rPr>
              <w:t>/</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2.2.1</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供应商要求澄清采购文件的时间</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olor w:val="auto"/>
                <w:szCs w:val="21"/>
                <w:highlight w:val="none"/>
              </w:rPr>
            </w:pPr>
            <w:r>
              <w:rPr>
                <w:rFonts w:ascii="Times New Roman" w:hAnsi="Times New Roman" w:eastAsia="宋体"/>
                <w:color w:val="auto"/>
                <w:szCs w:val="21"/>
                <w:highlight w:val="none"/>
              </w:rPr>
              <w:t>截止时间：</w:t>
            </w:r>
            <w:r>
              <w:rPr>
                <w:rFonts w:hint="eastAsia" w:ascii="Times New Roman" w:hAnsi="Times New Roman" w:eastAsia="宋体"/>
                <w:color w:val="auto"/>
                <w:szCs w:val="21"/>
                <w:highlight w:val="none"/>
                <w:lang w:val="en-US" w:eastAsia="zh-CN"/>
              </w:rPr>
              <w:t>开标</w:t>
            </w:r>
            <w:r>
              <w:rPr>
                <w:rFonts w:ascii="Times New Roman" w:hAnsi="Times New Roman" w:eastAsia="宋体"/>
                <w:color w:val="auto"/>
                <w:szCs w:val="21"/>
                <w:highlight w:val="none"/>
              </w:rPr>
              <w:t>截止时间</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2.2.3</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供应商确认收到采购</w:t>
            </w:r>
          </w:p>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文件补充文件</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olor w:val="auto"/>
                <w:szCs w:val="21"/>
                <w:highlight w:val="none"/>
              </w:rPr>
            </w:pPr>
            <w:r>
              <w:rPr>
                <w:rFonts w:ascii="Times New Roman" w:hAnsi="Times New Roman" w:eastAsia="宋体"/>
                <w:color w:val="auto"/>
                <w:szCs w:val="21"/>
                <w:highlight w:val="none"/>
              </w:rPr>
              <w:t>确认的最晚时间：</w:t>
            </w:r>
            <w:r>
              <w:rPr>
                <w:rFonts w:hint="eastAsia" w:ascii="Times New Roman" w:hAnsi="Times New Roman" w:eastAsia="宋体"/>
                <w:color w:val="auto"/>
                <w:szCs w:val="21"/>
                <w:highlight w:val="none"/>
                <w:lang w:val="en-US" w:eastAsia="zh-CN"/>
              </w:rPr>
              <w:t>开标</w:t>
            </w:r>
            <w:r>
              <w:rPr>
                <w:rFonts w:ascii="Times New Roman" w:hAnsi="Times New Roman" w:eastAsia="宋体"/>
                <w:color w:val="auto"/>
                <w:szCs w:val="21"/>
                <w:highlight w:val="none"/>
              </w:rPr>
              <w:t>截止时间</w:t>
            </w:r>
          </w:p>
          <w:p>
            <w:pPr>
              <w:snapToGrid w:val="0"/>
              <w:jc w:val="left"/>
              <w:rPr>
                <w:rFonts w:hint="default" w:ascii="Times New Roman" w:hAnsi="Times New Roman" w:eastAsia="宋体"/>
                <w:color w:val="auto"/>
                <w:szCs w:val="21"/>
                <w:highlight w:val="none"/>
                <w:lang w:val="en-US" w:eastAsia="zh-CN"/>
              </w:rPr>
            </w:pPr>
            <w:r>
              <w:rPr>
                <w:rFonts w:ascii="Times New Roman" w:hAnsi="Times New Roman" w:eastAsia="宋体"/>
                <w:color w:val="auto"/>
                <w:szCs w:val="21"/>
                <w:highlight w:val="none"/>
              </w:rPr>
              <w:t>确认的方式：</w:t>
            </w:r>
            <w:r>
              <w:rPr>
                <w:rFonts w:hint="eastAsia" w:ascii="Times New Roman" w:hAnsi="Times New Roman"/>
                <w:color w:val="auto"/>
                <w:szCs w:val="21"/>
                <w:highlight w:val="none"/>
                <w:lang w:val="en-US" w:eastAsia="zh-CN"/>
              </w:rPr>
              <w:t>网上获取</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3.1.1（9）</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构成响应文件的其他资料</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Times New Roman" w:hAnsi="Times New Roman" w:eastAsia="宋体"/>
                <w:color w:val="auto"/>
                <w:szCs w:val="21"/>
                <w:highlight w:val="none"/>
                <w:lang w:val="en-US" w:eastAsia="zh-CN"/>
              </w:rPr>
            </w:pPr>
            <w:r>
              <w:rPr>
                <w:rFonts w:ascii="Times New Roman" w:hAnsi="Times New Roman" w:eastAsia="宋体"/>
                <w:color w:val="auto"/>
                <w:szCs w:val="21"/>
                <w:highlight w:val="none"/>
              </w:rPr>
              <w:t>资料名称：</w:t>
            </w:r>
            <w:r>
              <w:rPr>
                <w:rFonts w:hint="eastAsia" w:ascii="Times New Roman" w:hAnsi="Times New Roman" w:eastAsia="宋体"/>
                <w:color w:val="auto"/>
                <w:szCs w:val="21"/>
                <w:highlight w:val="none"/>
                <w:lang w:val="en-US" w:eastAsia="zh-CN"/>
              </w:rPr>
              <w:t>详见</w:t>
            </w:r>
            <w:r>
              <w:rPr>
                <w:rFonts w:ascii="Times New Roman" w:hAnsi="Times New Roman" w:eastAsia="宋体"/>
                <w:color w:val="auto"/>
                <w:szCs w:val="21"/>
                <w:highlight w:val="none"/>
              </w:rPr>
              <w:t>第</w:t>
            </w:r>
            <w:r>
              <w:rPr>
                <w:rFonts w:hint="eastAsia" w:ascii="Times New Roman" w:hAnsi="Times New Roman"/>
                <w:color w:val="auto"/>
                <w:szCs w:val="21"/>
                <w:highlight w:val="none"/>
                <w:lang w:val="en-US" w:eastAsia="zh-CN"/>
              </w:rPr>
              <w:t>六</w:t>
            </w:r>
            <w:r>
              <w:rPr>
                <w:rFonts w:ascii="Times New Roman" w:hAnsi="Times New Roman" w:eastAsia="宋体"/>
                <w:color w:val="auto"/>
                <w:szCs w:val="21"/>
                <w:highlight w:val="none"/>
              </w:rPr>
              <w:t>章</w:t>
            </w:r>
            <w:r>
              <w:rPr>
                <w:rFonts w:hint="eastAsia" w:ascii="Times New Roman" w:hAnsi="Times New Roman" w:eastAsia="宋体"/>
                <w:color w:val="auto"/>
                <w:szCs w:val="21"/>
                <w:highlight w:val="none"/>
              </w:rPr>
              <w:t>响应文件</w:t>
            </w:r>
            <w:r>
              <w:rPr>
                <w:rFonts w:ascii="Times New Roman" w:hAnsi="Times New Roman" w:eastAsia="宋体"/>
                <w:color w:val="auto"/>
                <w:szCs w:val="21"/>
                <w:highlight w:val="none"/>
              </w:rPr>
              <w:t>格式</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3.2.2</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采购标的数量增减幅度</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olor w:val="auto"/>
                <w:szCs w:val="21"/>
                <w:highlight w:val="none"/>
              </w:rPr>
            </w:pPr>
            <w:r>
              <w:rPr>
                <w:rFonts w:ascii="Times New Roman" w:hAnsi="Times New Roman" w:eastAsia="宋体"/>
                <w:color w:val="auto"/>
                <w:szCs w:val="21"/>
                <w:highlight w:val="none"/>
              </w:rPr>
              <w:t>采购标的数量增减幅度：</w:t>
            </w:r>
            <w:r>
              <w:rPr>
                <w:rFonts w:hint="eastAsia" w:ascii="Times New Roman" w:hAnsi="Times New Roman"/>
                <w:color w:val="auto"/>
                <w:szCs w:val="21"/>
                <w:highlight w:val="none"/>
                <w:u w:val="single"/>
                <w:lang w:val="en-US" w:eastAsia="zh-CN"/>
              </w:rPr>
              <w:t>/</w:t>
            </w:r>
            <w:r>
              <w:rPr>
                <w:rFonts w:ascii="Times New Roman" w:hAnsi="Times New Roman" w:eastAsia="宋体"/>
                <w:color w:val="auto"/>
                <w:szCs w:val="21"/>
                <w:highlight w:val="none"/>
              </w:rPr>
              <w:t>%</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3.2.3</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最高限价或其计算方法</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olor w:val="auto"/>
                <w:szCs w:val="21"/>
                <w:highlight w:val="none"/>
              </w:rPr>
            </w:pPr>
            <w:r>
              <w:rPr>
                <w:rFonts w:ascii="Times New Roman" w:hAnsi="Times New Roman" w:eastAsia="宋体"/>
                <w:color w:val="auto"/>
                <w:highlight w:val="none"/>
              </w:rPr>
              <w:sym w:font="Wingdings 2" w:char="00A3"/>
            </w:r>
            <w:r>
              <w:rPr>
                <w:rFonts w:ascii="Times New Roman" w:hAnsi="Times New Roman" w:eastAsia="宋体"/>
                <w:color w:val="auto"/>
                <w:szCs w:val="21"/>
                <w:highlight w:val="none"/>
              </w:rPr>
              <w:t>无</w:t>
            </w:r>
          </w:p>
          <w:p>
            <w:pPr>
              <w:snapToGrid w:val="0"/>
              <w:jc w:val="left"/>
              <w:rPr>
                <w:rFonts w:hint="default" w:ascii="Times New Roman" w:hAnsi="Times New Roman" w:eastAsia="宋体"/>
                <w:color w:val="auto"/>
                <w:szCs w:val="21"/>
                <w:highlight w:val="none"/>
                <w:lang w:val="en-US" w:eastAsia="zh-CN"/>
              </w:rPr>
            </w:pPr>
            <w:r>
              <w:rPr>
                <w:rFonts w:ascii="Times New Roman" w:hAnsi="Times New Roman" w:eastAsia="宋体"/>
                <w:color w:val="auto"/>
                <w:highlight w:val="none"/>
              </w:rPr>
              <w:sym w:font="Wingdings 2" w:char="0052"/>
            </w:r>
            <w:r>
              <w:rPr>
                <w:rFonts w:ascii="Times New Roman" w:hAnsi="Times New Roman" w:eastAsia="宋体"/>
                <w:color w:val="auto"/>
                <w:szCs w:val="21"/>
                <w:highlight w:val="none"/>
              </w:rPr>
              <w:t>有，最高限价或其计算方法：</w:t>
            </w:r>
            <w:r>
              <w:rPr>
                <w:rFonts w:hint="eastAsia" w:ascii="Times New Roman" w:hAnsi="Times New Roman"/>
                <w:color w:val="auto"/>
                <w:szCs w:val="21"/>
                <w:highlight w:val="none"/>
                <w:u w:val="single"/>
                <w:lang w:val="en-US" w:eastAsia="zh-CN"/>
              </w:rPr>
              <w:t>4万元</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3.2.4</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报价的其他要求</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响应报价包括货物、运输保险（包括运输至采购人指定地点卸车就位）至验收和售后服务的一切费用、管理费、利润和税金，以及采购合同中明示或暗示的所有责任、义务和风险。</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3.3.1</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响应文件有效期</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olor w:val="auto"/>
                <w:szCs w:val="21"/>
                <w:highlight w:val="none"/>
              </w:rPr>
            </w:pPr>
            <w:r>
              <w:rPr>
                <w:rFonts w:hint="eastAsia" w:ascii="Times New Roman" w:hAnsi="Times New Roman" w:eastAsia="宋体" w:cs="Times New Roman"/>
                <w:color w:val="auto"/>
                <w:szCs w:val="21"/>
                <w:highlight w:val="none"/>
                <w:lang w:val="en-US" w:eastAsia="zh-CN"/>
              </w:rPr>
              <w:t>90日历日</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3.4.1</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响应保证金</w:t>
            </w:r>
          </w:p>
        </w:tc>
        <w:tc>
          <w:tcPr>
            <w:tcW w:w="4536" w:type="dxa"/>
            <w:tcBorders>
              <w:top w:val="single" w:color="auto" w:sz="4" w:space="0"/>
              <w:left w:val="single" w:color="auto" w:sz="4" w:space="0"/>
              <w:bottom w:val="single" w:color="auto" w:sz="4" w:space="0"/>
              <w:right w:val="single" w:color="auto" w:sz="4" w:space="0"/>
            </w:tcBorders>
            <w:vAlign w:val="center"/>
          </w:tcPr>
          <w:p>
            <w:pPr>
              <w:pStyle w:val="11"/>
              <w:topLinePunct/>
              <w:snapToGrid w:val="0"/>
              <w:ind w:firstLine="210" w:firstLineChars="100"/>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是否要求供应商提交响应保证金：</w:t>
            </w:r>
          </w:p>
          <w:p>
            <w:pPr>
              <w:pStyle w:val="11"/>
              <w:topLinePunct/>
              <w:snapToGrid w:val="0"/>
              <w:ind w:firstLine="210" w:firstLineChars="100"/>
              <w:rPr>
                <w:rFonts w:hint="eastAsia" w:ascii="Times New Roman" w:hAnsi="Times New Roman" w:eastAsia="宋体"/>
                <w:color w:val="auto"/>
                <w:sz w:val="21"/>
                <w:szCs w:val="21"/>
                <w:highlight w:val="none"/>
              </w:rPr>
            </w:pPr>
            <w:r>
              <w:rPr>
                <w:rFonts w:hint="eastAsia" w:ascii="Times New Roman" w:hAnsi="Times New Roman"/>
                <w:color w:val="auto"/>
                <w:sz w:val="21"/>
                <w:szCs w:val="21"/>
                <w:highlight w:val="none"/>
                <w:lang w:eastAsia="zh-CN"/>
              </w:rPr>
              <w:sym w:font="Wingdings 2" w:char="0052"/>
            </w:r>
            <w:r>
              <w:rPr>
                <w:rFonts w:hint="eastAsia" w:ascii="Times New Roman" w:hAnsi="Times New Roman" w:eastAsia="宋体"/>
                <w:color w:val="auto"/>
                <w:sz w:val="21"/>
                <w:szCs w:val="21"/>
                <w:highlight w:val="none"/>
              </w:rPr>
              <w:t>不要求。</w:t>
            </w:r>
          </w:p>
          <w:p>
            <w:pPr>
              <w:pStyle w:val="11"/>
              <w:topLinePunct/>
              <w:snapToGrid w:val="0"/>
              <w:ind w:firstLine="210" w:firstLineChars="100"/>
              <w:rPr>
                <w:rFonts w:ascii="Times New Roman" w:hAnsi="Times New Roman" w:eastAsia="宋体"/>
                <w:color w:val="auto"/>
                <w:highlight w:val="none"/>
              </w:rPr>
            </w:pPr>
            <w:r>
              <w:rPr>
                <w:rFonts w:hint="eastAsia" w:ascii="Times New Roman" w:hAnsi="Times New Roman" w:eastAsia="宋体"/>
                <w:color w:val="auto"/>
                <w:sz w:val="21"/>
                <w:szCs w:val="21"/>
                <w:highlight w:val="none"/>
              </w:rPr>
              <w:t>□要求，响应保证金的金额：</w:t>
            </w:r>
            <w:r>
              <w:rPr>
                <w:rFonts w:hint="eastAsia" w:ascii="Times New Roman" w:hAnsi="Times New Roman"/>
                <w:color w:val="auto"/>
                <w:sz w:val="21"/>
                <w:szCs w:val="21"/>
                <w:highlight w:val="none"/>
                <w:lang w:val="en-US" w:eastAsia="zh-CN"/>
              </w:rPr>
              <w:t>/</w:t>
            </w:r>
            <w:r>
              <w:rPr>
                <w:rFonts w:hint="eastAsia" w:ascii="Times New Roman" w:hAnsi="Times New Roman" w:eastAsia="宋体"/>
                <w:color w:val="auto"/>
                <w:sz w:val="21"/>
                <w:szCs w:val="21"/>
                <w:highlight w:val="none"/>
              </w:rPr>
              <w:t>。</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3.4.2</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退还响应保证金的时间</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olor w:val="auto"/>
                <w:szCs w:val="21"/>
                <w:highlight w:val="none"/>
              </w:rPr>
            </w:pPr>
            <w:r>
              <w:rPr>
                <w:rFonts w:hint="eastAsia" w:ascii="Times New Roman" w:hAnsi="Times New Roman" w:eastAsia="宋体" w:cs="Times New Roman"/>
                <w:color w:val="auto"/>
                <w:kern w:val="2"/>
                <w:sz w:val="21"/>
                <w:szCs w:val="21"/>
                <w:highlight w:val="none"/>
                <w:lang w:val="en-US" w:eastAsia="zh-CN" w:bidi="ar-SA"/>
              </w:rPr>
              <w:t>确定成交供应商后3个工作日内退还。</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3.4.3（3）</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不退还响应保证金的其他情形</w:t>
            </w:r>
          </w:p>
        </w:tc>
        <w:tc>
          <w:tcPr>
            <w:tcW w:w="4536" w:type="dxa"/>
            <w:tcBorders>
              <w:top w:val="single" w:color="auto" w:sz="4" w:space="0"/>
              <w:left w:val="single" w:color="auto" w:sz="4" w:space="0"/>
              <w:bottom w:val="single" w:color="auto" w:sz="4" w:space="0"/>
              <w:right w:val="single" w:color="auto" w:sz="4" w:space="0"/>
            </w:tcBorders>
            <w:vAlign w:val="center"/>
          </w:tcPr>
          <w:p>
            <w:pPr>
              <w:topLinePunct/>
              <w:snapToGrid w:val="0"/>
              <w:jc w:val="left"/>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1、未按采购文件要求交纳采购代理服务费的；</w:t>
            </w:r>
          </w:p>
          <w:p>
            <w:pPr>
              <w:topLinePunct/>
              <w:snapToGrid w:val="0"/>
              <w:jc w:val="left"/>
              <w:rPr>
                <w:rFonts w:ascii="Times New Roman" w:hAnsi="Times New Roman" w:eastAsia="宋体"/>
                <w:color w:val="auto"/>
                <w:sz w:val="32"/>
                <w:szCs w:val="32"/>
                <w:highlight w:val="none"/>
              </w:rPr>
            </w:pPr>
            <w:r>
              <w:rPr>
                <w:rFonts w:hint="eastAsia" w:ascii="Times New Roman" w:hAnsi="Times New Roman" w:eastAsia="宋体" w:cs="Times New Roman"/>
                <w:color w:val="auto"/>
                <w:kern w:val="2"/>
                <w:sz w:val="21"/>
                <w:szCs w:val="21"/>
                <w:highlight w:val="none"/>
                <w:lang w:val="en-US" w:eastAsia="zh-CN" w:bidi="ar-SA"/>
              </w:rPr>
              <w:t>2、已被证实在参加本项目询比采购响应活动中存在弄虚作假或围标、串标等违法情形的；</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3.5（1）</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highlight w:val="none"/>
              </w:rPr>
              <w:t>依法设立的证明材料</w:t>
            </w:r>
          </w:p>
        </w:tc>
        <w:tc>
          <w:tcPr>
            <w:tcW w:w="4536" w:type="dxa"/>
            <w:tcBorders>
              <w:top w:val="single" w:color="auto" w:sz="4" w:space="0"/>
              <w:left w:val="single" w:color="auto" w:sz="4" w:space="0"/>
              <w:bottom w:val="single" w:color="auto" w:sz="4" w:space="0"/>
              <w:right w:val="single" w:color="auto" w:sz="4" w:space="0"/>
            </w:tcBorders>
            <w:vAlign w:val="center"/>
          </w:tcPr>
          <w:p>
            <w:pPr>
              <w:topLinePunct/>
              <w:snapToGrid w:val="0"/>
              <w:jc w:val="left"/>
              <w:rPr>
                <w:rFonts w:ascii="Times New Roman" w:hAnsi="Times New Roman" w:eastAsia="宋体"/>
                <w:color w:val="auto"/>
                <w:sz w:val="32"/>
                <w:szCs w:val="32"/>
                <w:highlight w:val="none"/>
              </w:rPr>
            </w:pPr>
            <w:r>
              <w:rPr>
                <w:rFonts w:ascii="Times New Roman" w:hAnsi="Times New Roman" w:eastAsia="宋体"/>
                <w:color w:val="auto"/>
                <w:highlight w:val="none"/>
              </w:rPr>
              <w:t>供应商应提供市场监管部门或其他行政机关颁发的可以合法开展业务的执照或证书复印件</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3.5（2）</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highlight w:val="none"/>
              </w:rPr>
            </w:pPr>
            <w:r>
              <w:rPr>
                <w:rFonts w:ascii="Times New Roman" w:hAnsi="Times New Roman" w:eastAsia="宋体"/>
                <w:color w:val="auto"/>
                <w:highlight w:val="none"/>
              </w:rPr>
              <w:t>资质要求证明材料</w:t>
            </w:r>
          </w:p>
        </w:tc>
        <w:tc>
          <w:tcPr>
            <w:tcW w:w="4536" w:type="dxa"/>
            <w:tcBorders>
              <w:top w:val="single" w:color="auto" w:sz="4" w:space="0"/>
              <w:left w:val="single" w:color="auto" w:sz="4" w:space="0"/>
              <w:bottom w:val="single" w:color="auto" w:sz="4" w:space="0"/>
              <w:right w:val="single" w:color="auto" w:sz="4" w:space="0"/>
            </w:tcBorders>
            <w:vAlign w:val="center"/>
          </w:tcPr>
          <w:p>
            <w:pPr>
              <w:topLinePunct/>
              <w:snapToGrid w:val="0"/>
              <w:jc w:val="left"/>
              <w:rPr>
                <w:rFonts w:ascii="Times New Roman" w:hAnsi="Times New Roman" w:eastAsia="宋体"/>
                <w:color w:val="auto"/>
                <w:szCs w:val="21"/>
                <w:highlight w:val="none"/>
              </w:rPr>
            </w:pPr>
            <w:r>
              <w:rPr>
                <w:rFonts w:ascii="Times New Roman" w:hAnsi="Times New Roman" w:eastAsia="宋体"/>
                <w:color w:val="auto"/>
                <w:highlight w:val="none"/>
              </w:rPr>
              <w:sym w:font="Wingdings 2" w:char="00A3"/>
            </w:r>
            <w:r>
              <w:rPr>
                <w:rFonts w:ascii="Times New Roman" w:hAnsi="Times New Roman" w:eastAsia="宋体"/>
                <w:color w:val="auto"/>
                <w:szCs w:val="21"/>
                <w:highlight w:val="none"/>
              </w:rPr>
              <w:t>不适用</w:t>
            </w:r>
          </w:p>
          <w:p>
            <w:pPr>
              <w:topLinePunct/>
              <w:snapToGrid w:val="0"/>
              <w:jc w:val="left"/>
              <w:rPr>
                <w:rFonts w:ascii="Times New Roman" w:hAnsi="Times New Roman" w:eastAsia="宋体"/>
                <w:color w:val="auto"/>
                <w:szCs w:val="21"/>
                <w:highlight w:val="none"/>
              </w:rPr>
            </w:pPr>
            <w:r>
              <w:rPr>
                <w:rFonts w:ascii="Times New Roman" w:hAnsi="Times New Roman" w:eastAsia="宋体"/>
                <w:color w:val="auto"/>
                <w:highlight w:val="none"/>
              </w:rPr>
              <w:sym w:font="Wingdings 2" w:char="0052"/>
            </w:r>
            <w:r>
              <w:rPr>
                <w:rFonts w:ascii="Times New Roman" w:hAnsi="Times New Roman" w:eastAsia="宋体"/>
                <w:color w:val="auto"/>
                <w:szCs w:val="21"/>
                <w:highlight w:val="none"/>
              </w:rPr>
              <w:t>适用。供应商应提供相关资质证书副本的复印件，以证明供应商具有承担本项目要求的资质</w:t>
            </w:r>
          </w:p>
          <w:p>
            <w:pPr>
              <w:topLinePunct/>
              <w:snapToGrid w:val="0"/>
              <w:jc w:val="left"/>
              <w:rPr>
                <w:rFonts w:hint="default" w:ascii="Times New Roman" w:hAnsi="Times New Roman" w:eastAsia="宋体"/>
                <w:color w:val="auto"/>
                <w:highlight w:val="none"/>
                <w:lang w:val="en-US" w:eastAsia="zh-CN"/>
              </w:rPr>
            </w:pPr>
            <w:r>
              <w:rPr>
                <w:rFonts w:ascii="Times New Roman" w:hAnsi="Times New Roman" w:eastAsia="宋体"/>
                <w:color w:val="auto"/>
                <w:szCs w:val="21"/>
                <w:highlight w:val="none"/>
              </w:rPr>
              <w:t>资质证书</w:t>
            </w:r>
            <w:r>
              <w:rPr>
                <w:rFonts w:ascii="Times New Roman" w:hAnsi="Times New Roman" w:eastAsia="宋体"/>
                <w:color w:val="auto"/>
                <w:highlight w:val="none"/>
              </w:rPr>
              <w:t>包括：</w:t>
            </w:r>
            <w:r>
              <w:rPr>
                <w:rFonts w:hint="eastAsia" w:ascii="Times New Roman" w:hAnsi="Times New Roman"/>
                <w:color w:val="auto"/>
                <w:highlight w:val="none"/>
                <w:u w:val="single"/>
                <w:lang w:val="en-US" w:eastAsia="zh-CN"/>
              </w:rPr>
              <w:t>详见询比公告。</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 xml:space="preserve">3.5（3） </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highlight w:val="none"/>
              </w:rPr>
            </w:pPr>
            <w:r>
              <w:rPr>
                <w:rFonts w:ascii="Times New Roman" w:hAnsi="Times New Roman" w:eastAsia="宋体"/>
                <w:color w:val="auto"/>
                <w:highlight w:val="none"/>
              </w:rPr>
              <w:t>财务要求证明材料</w:t>
            </w:r>
          </w:p>
        </w:tc>
        <w:tc>
          <w:tcPr>
            <w:tcW w:w="4536" w:type="dxa"/>
            <w:tcBorders>
              <w:top w:val="single" w:color="auto" w:sz="4" w:space="0"/>
              <w:left w:val="single" w:color="auto" w:sz="4" w:space="0"/>
              <w:bottom w:val="single" w:color="auto" w:sz="4" w:space="0"/>
              <w:right w:val="single" w:color="auto" w:sz="4" w:space="0"/>
            </w:tcBorders>
            <w:vAlign w:val="center"/>
          </w:tcPr>
          <w:p>
            <w:pPr>
              <w:topLinePunct/>
              <w:snapToGrid w:val="0"/>
              <w:jc w:val="left"/>
              <w:rPr>
                <w:rFonts w:ascii="Times New Roman" w:hAnsi="Times New Roman" w:eastAsia="宋体"/>
                <w:color w:val="auto"/>
                <w:highlight w:val="none"/>
              </w:rPr>
            </w:pPr>
            <w:r>
              <w:rPr>
                <w:rFonts w:ascii="Times New Roman" w:hAnsi="Times New Roman" w:eastAsia="宋体"/>
                <w:color w:val="auto"/>
                <w:highlight w:val="none"/>
              </w:rPr>
              <w:sym w:font="Wingdings 2" w:char="0052"/>
            </w:r>
            <w:r>
              <w:rPr>
                <w:rFonts w:ascii="Times New Roman" w:hAnsi="Times New Roman" w:eastAsia="宋体"/>
                <w:color w:val="auto"/>
                <w:highlight w:val="none"/>
              </w:rPr>
              <w:t>不适用</w:t>
            </w:r>
          </w:p>
          <w:p>
            <w:pPr>
              <w:topLinePunct/>
              <w:snapToGrid w:val="0"/>
              <w:jc w:val="left"/>
              <w:rPr>
                <w:rFonts w:ascii="Times New Roman" w:hAnsi="Times New Roman" w:eastAsia="宋体"/>
                <w:color w:val="auto"/>
                <w:highlight w:val="none"/>
              </w:rPr>
            </w:pPr>
            <w:r>
              <w:rPr>
                <w:rFonts w:ascii="Times New Roman" w:hAnsi="Times New Roman" w:eastAsia="宋体"/>
                <w:color w:val="auto"/>
                <w:highlight w:val="none"/>
              </w:rPr>
              <w:sym w:font="Wingdings 2" w:char="00A3"/>
            </w:r>
            <w:r>
              <w:rPr>
                <w:rFonts w:ascii="Times New Roman" w:hAnsi="Times New Roman" w:eastAsia="宋体"/>
                <w:color w:val="auto"/>
                <w:highlight w:val="none"/>
              </w:rPr>
              <w:t>适用。</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3.5（4）</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业绩要求证明材料</w:t>
            </w:r>
          </w:p>
        </w:tc>
        <w:tc>
          <w:tcPr>
            <w:tcW w:w="4536" w:type="dxa"/>
            <w:tcBorders>
              <w:top w:val="single" w:color="auto" w:sz="4" w:space="0"/>
              <w:left w:val="single" w:color="auto" w:sz="4" w:space="0"/>
              <w:bottom w:val="single" w:color="auto" w:sz="4" w:space="0"/>
              <w:right w:val="single" w:color="auto" w:sz="4" w:space="0"/>
            </w:tcBorders>
            <w:vAlign w:val="center"/>
          </w:tcPr>
          <w:p>
            <w:pPr>
              <w:topLinePunct/>
              <w:snapToGrid w:val="0"/>
              <w:jc w:val="left"/>
              <w:rPr>
                <w:rFonts w:ascii="Times New Roman" w:hAnsi="Times New Roman" w:eastAsia="宋体"/>
                <w:color w:val="auto"/>
                <w:szCs w:val="21"/>
                <w:highlight w:val="none"/>
              </w:rPr>
            </w:pPr>
            <w:r>
              <w:rPr>
                <w:rFonts w:ascii="Times New Roman" w:hAnsi="Times New Roman" w:eastAsia="宋体"/>
                <w:color w:val="auto"/>
                <w:szCs w:val="21"/>
                <w:highlight w:val="none"/>
              </w:rPr>
              <w:sym w:font="Wingdings 2" w:char="00A3"/>
            </w:r>
            <w:r>
              <w:rPr>
                <w:rFonts w:ascii="Times New Roman" w:hAnsi="Times New Roman" w:eastAsia="宋体"/>
                <w:color w:val="auto"/>
                <w:szCs w:val="21"/>
                <w:highlight w:val="none"/>
              </w:rPr>
              <w:t>不适用</w:t>
            </w:r>
          </w:p>
          <w:p>
            <w:pPr>
              <w:topLinePunct/>
              <w:snapToGrid w:val="0"/>
              <w:jc w:val="left"/>
              <w:rPr>
                <w:rFonts w:ascii="Times New Roman" w:hAnsi="Times New Roman" w:eastAsia="宋体"/>
                <w:iCs/>
                <w:color w:val="auto"/>
                <w:sz w:val="21"/>
                <w:szCs w:val="21"/>
                <w:highlight w:val="none"/>
              </w:rPr>
            </w:pPr>
            <w:r>
              <w:rPr>
                <w:rFonts w:ascii="Times New Roman" w:hAnsi="Times New Roman" w:eastAsia="宋体"/>
                <w:color w:val="auto"/>
                <w:szCs w:val="21"/>
                <w:highlight w:val="none"/>
              </w:rPr>
              <w:sym w:font="Wingdings 2" w:char="0052"/>
            </w:r>
            <w:r>
              <w:rPr>
                <w:rFonts w:ascii="Times New Roman" w:hAnsi="Times New Roman" w:eastAsia="宋体"/>
                <w:color w:val="auto"/>
                <w:szCs w:val="21"/>
                <w:highlight w:val="none"/>
              </w:rPr>
              <w:t>适用。</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3.5（5）</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highlight w:val="none"/>
              </w:rPr>
            </w:pPr>
            <w:r>
              <w:rPr>
                <w:rFonts w:ascii="Times New Roman" w:hAnsi="Times New Roman" w:eastAsia="宋体"/>
                <w:color w:val="auto"/>
                <w:highlight w:val="none"/>
              </w:rPr>
              <w:t>信誉要求证明材料</w:t>
            </w:r>
          </w:p>
        </w:tc>
        <w:tc>
          <w:tcPr>
            <w:tcW w:w="4536" w:type="dxa"/>
            <w:tcBorders>
              <w:top w:val="single" w:color="auto" w:sz="4" w:space="0"/>
              <w:left w:val="single" w:color="auto" w:sz="4" w:space="0"/>
              <w:bottom w:val="single" w:color="auto" w:sz="4" w:space="0"/>
              <w:right w:val="single" w:color="auto" w:sz="4" w:space="0"/>
            </w:tcBorders>
            <w:vAlign w:val="center"/>
          </w:tcPr>
          <w:p>
            <w:pPr>
              <w:topLinePunct/>
              <w:snapToGrid w:val="0"/>
              <w:jc w:val="left"/>
              <w:rPr>
                <w:rFonts w:ascii="Times New Roman" w:hAnsi="Times New Roman" w:eastAsia="宋体"/>
                <w:iCs/>
                <w:color w:val="auto"/>
                <w:highlight w:val="none"/>
              </w:rPr>
            </w:pPr>
            <w:r>
              <w:rPr>
                <w:rFonts w:hint="eastAsia" w:ascii="Times New Roman" w:hAnsi="Times New Roman"/>
                <w:color w:val="auto"/>
                <w:highlight w:val="none"/>
                <w:lang w:val="en-US" w:eastAsia="zh-CN"/>
              </w:rPr>
              <w:t>按响应文件给定的信誉承诺格式如实承诺，无须另行提供证明材料</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3.5（6）</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highlight w:val="none"/>
              </w:rPr>
            </w:pPr>
            <w:r>
              <w:rPr>
                <w:rFonts w:ascii="Times New Roman" w:hAnsi="Times New Roman" w:eastAsia="宋体"/>
                <w:color w:val="auto"/>
                <w:highlight w:val="none"/>
              </w:rPr>
              <w:t>承担本项目的主要人员</w:t>
            </w:r>
          </w:p>
          <w:p>
            <w:pPr>
              <w:snapToGrid w:val="0"/>
              <w:jc w:val="center"/>
              <w:rPr>
                <w:rFonts w:ascii="Times New Roman" w:hAnsi="Times New Roman" w:eastAsia="宋体"/>
                <w:color w:val="auto"/>
                <w:szCs w:val="21"/>
                <w:highlight w:val="none"/>
              </w:rPr>
            </w:pPr>
            <w:r>
              <w:rPr>
                <w:rFonts w:ascii="Times New Roman" w:hAnsi="Times New Roman" w:eastAsia="宋体"/>
                <w:color w:val="auto"/>
                <w:highlight w:val="none"/>
              </w:rPr>
              <w:t>要求证明材料</w:t>
            </w:r>
          </w:p>
        </w:tc>
        <w:tc>
          <w:tcPr>
            <w:tcW w:w="4536" w:type="dxa"/>
            <w:tcBorders>
              <w:top w:val="single" w:color="auto" w:sz="4" w:space="0"/>
              <w:left w:val="single" w:color="auto" w:sz="4" w:space="0"/>
              <w:bottom w:val="single" w:color="auto" w:sz="4" w:space="0"/>
              <w:right w:val="single" w:color="auto" w:sz="4" w:space="0"/>
            </w:tcBorders>
            <w:vAlign w:val="center"/>
          </w:tcPr>
          <w:p>
            <w:pPr>
              <w:topLinePunct/>
              <w:snapToGrid w:val="0"/>
              <w:jc w:val="left"/>
              <w:rPr>
                <w:rFonts w:ascii="Times New Roman" w:hAnsi="Times New Roman" w:eastAsia="宋体"/>
                <w:color w:val="auto"/>
                <w:sz w:val="32"/>
                <w:szCs w:val="32"/>
                <w:highlight w:val="none"/>
              </w:rPr>
            </w:pPr>
            <w:r>
              <w:rPr>
                <w:rFonts w:ascii="Times New Roman" w:hAnsi="Times New Roman" w:eastAsia="宋体"/>
                <w:color w:val="auto"/>
                <w:highlight w:val="none"/>
              </w:rPr>
              <w:sym w:font="Wingdings 2" w:char="0052"/>
            </w:r>
            <w:r>
              <w:rPr>
                <w:rFonts w:ascii="Times New Roman" w:hAnsi="Times New Roman" w:eastAsia="宋体"/>
                <w:color w:val="auto"/>
                <w:highlight w:val="none"/>
              </w:rPr>
              <w:t>不适用</w:t>
            </w:r>
          </w:p>
          <w:p>
            <w:pPr>
              <w:topLinePunct/>
              <w:snapToGrid w:val="0"/>
              <w:jc w:val="left"/>
              <w:rPr>
                <w:rFonts w:ascii="Times New Roman" w:hAnsi="Times New Roman" w:eastAsia="宋体"/>
                <w:color w:val="auto"/>
                <w:highlight w:val="none"/>
              </w:rPr>
            </w:pPr>
            <w:r>
              <w:rPr>
                <w:rFonts w:ascii="Times New Roman" w:hAnsi="Times New Roman" w:eastAsia="宋体"/>
                <w:color w:val="auto"/>
                <w:highlight w:val="none"/>
              </w:rPr>
              <w:sym w:font="Wingdings 2" w:char="00A3"/>
            </w:r>
            <w:r>
              <w:rPr>
                <w:rFonts w:ascii="Times New Roman" w:hAnsi="Times New Roman" w:eastAsia="宋体"/>
                <w:color w:val="auto"/>
                <w:highlight w:val="none"/>
              </w:rPr>
              <w:t>适用。</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3.5（7）</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其他要求的证明材料</w:t>
            </w:r>
          </w:p>
        </w:tc>
        <w:tc>
          <w:tcPr>
            <w:tcW w:w="4536" w:type="dxa"/>
            <w:tcBorders>
              <w:top w:val="single" w:color="auto" w:sz="4" w:space="0"/>
              <w:left w:val="single" w:color="auto" w:sz="4" w:space="0"/>
              <w:bottom w:val="single" w:color="auto" w:sz="4" w:space="0"/>
              <w:right w:val="single" w:color="auto" w:sz="4" w:space="0"/>
            </w:tcBorders>
            <w:vAlign w:val="center"/>
          </w:tcPr>
          <w:p>
            <w:pPr>
              <w:topLinePunct/>
              <w:snapToGrid w:val="0"/>
              <w:jc w:val="left"/>
              <w:rPr>
                <w:rFonts w:hint="default" w:ascii="Times New Roman" w:hAnsi="Times New Roman" w:eastAsia="宋体"/>
                <w:color w:val="auto"/>
                <w:sz w:val="32"/>
                <w:szCs w:val="32"/>
                <w:highlight w:val="none"/>
                <w:lang w:val="en-US" w:eastAsia="zh-CN"/>
              </w:rPr>
            </w:pPr>
            <w:r>
              <w:rPr>
                <w:rFonts w:hint="eastAsia" w:ascii="Times New Roman" w:hAnsi="Times New Roman" w:eastAsia="宋体" w:cs="Times New Roman"/>
                <w:color w:val="auto"/>
                <w:highlight w:val="none"/>
                <w:lang w:val="en-US" w:eastAsia="zh-CN"/>
              </w:rPr>
              <w:t>详见询比公告</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3.5（</w:t>
            </w:r>
            <w:r>
              <w:rPr>
                <w:rFonts w:hint="eastAsia" w:ascii="Times New Roman" w:hAnsi="Times New Roman"/>
                <w:color w:val="auto"/>
                <w:szCs w:val="21"/>
                <w:highlight w:val="none"/>
                <w:lang w:val="en-US" w:eastAsia="zh-CN"/>
              </w:rPr>
              <w:t>8</w:t>
            </w:r>
            <w:r>
              <w:rPr>
                <w:rFonts w:ascii="Times New Roman" w:hAnsi="Times New Roman" w:eastAsia="宋体"/>
                <w:color w:val="auto"/>
                <w:szCs w:val="21"/>
                <w:highlight w:val="none"/>
              </w:rPr>
              <w:t>）</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联合体要求的证明材料</w:t>
            </w:r>
          </w:p>
        </w:tc>
        <w:tc>
          <w:tcPr>
            <w:tcW w:w="4536" w:type="dxa"/>
            <w:tcBorders>
              <w:top w:val="single" w:color="auto" w:sz="4" w:space="0"/>
              <w:left w:val="single" w:color="auto" w:sz="4" w:space="0"/>
              <w:bottom w:val="single" w:color="auto" w:sz="4" w:space="0"/>
              <w:right w:val="single" w:color="auto" w:sz="4" w:space="0"/>
            </w:tcBorders>
            <w:vAlign w:val="center"/>
          </w:tcPr>
          <w:p>
            <w:pPr>
              <w:topLinePunct/>
              <w:snapToGrid w:val="0"/>
              <w:jc w:val="left"/>
              <w:rPr>
                <w:rFonts w:ascii="Times New Roman" w:hAnsi="Times New Roman" w:eastAsia="宋体"/>
                <w:color w:val="auto"/>
                <w:highlight w:val="none"/>
              </w:rPr>
            </w:pPr>
            <w:r>
              <w:rPr>
                <w:rFonts w:ascii="Times New Roman" w:hAnsi="Times New Roman" w:eastAsia="宋体"/>
                <w:color w:val="auto"/>
                <w:highlight w:val="none"/>
              </w:rPr>
              <w:sym w:font="Wingdings 2" w:char="0052"/>
            </w:r>
            <w:r>
              <w:rPr>
                <w:rFonts w:ascii="Times New Roman" w:hAnsi="Times New Roman" w:eastAsia="宋体"/>
                <w:color w:val="auto"/>
                <w:highlight w:val="none"/>
              </w:rPr>
              <w:t>不适用</w:t>
            </w:r>
          </w:p>
          <w:p>
            <w:pPr>
              <w:numPr>
                <w:ilvl w:val="0"/>
                <w:numId w:val="0"/>
              </w:numPr>
              <w:topLinePunct/>
              <w:snapToGrid w:val="0"/>
              <w:jc w:val="left"/>
              <w:rPr>
                <w:rFonts w:ascii="Times New Roman" w:hAnsi="Times New Roman" w:eastAsia="宋体"/>
                <w:color w:val="auto"/>
                <w:highlight w:val="none"/>
              </w:rPr>
            </w:pPr>
            <w:r>
              <w:rPr>
                <w:rFonts w:ascii="Times New Roman" w:hAnsi="Times New Roman" w:eastAsia="宋体"/>
                <w:color w:val="auto"/>
                <w:highlight w:val="none"/>
              </w:rPr>
              <w:sym w:font="Wingdings 2" w:char="00A3"/>
            </w:r>
            <w:r>
              <w:rPr>
                <w:rFonts w:ascii="Times New Roman" w:hAnsi="Times New Roman" w:eastAsia="宋体"/>
                <w:color w:val="auto"/>
                <w:highlight w:val="none"/>
              </w:rPr>
              <w:t>适用。</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3.6.1</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highlight w:val="none"/>
              </w:rPr>
            </w:pPr>
            <w:r>
              <w:rPr>
                <w:rFonts w:ascii="Times New Roman" w:hAnsi="Times New Roman" w:eastAsia="宋体"/>
                <w:color w:val="auto"/>
                <w:highlight w:val="none"/>
              </w:rPr>
              <w:t>对关键条款进行响应的证据或</w:t>
            </w:r>
          </w:p>
          <w:p>
            <w:pPr>
              <w:snapToGrid w:val="0"/>
              <w:jc w:val="center"/>
              <w:rPr>
                <w:rFonts w:ascii="Times New Roman" w:hAnsi="Times New Roman" w:eastAsia="宋体"/>
                <w:color w:val="auto"/>
                <w:szCs w:val="21"/>
                <w:highlight w:val="none"/>
              </w:rPr>
            </w:pPr>
            <w:r>
              <w:rPr>
                <w:rFonts w:ascii="Times New Roman" w:hAnsi="Times New Roman" w:eastAsia="宋体"/>
                <w:color w:val="auto"/>
                <w:highlight w:val="none"/>
              </w:rPr>
              <w:t>证明材料要求</w:t>
            </w:r>
          </w:p>
        </w:tc>
        <w:tc>
          <w:tcPr>
            <w:tcW w:w="4536" w:type="dxa"/>
            <w:tcBorders>
              <w:top w:val="single" w:color="auto" w:sz="4" w:space="0"/>
              <w:left w:val="single" w:color="auto" w:sz="4" w:space="0"/>
              <w:bottom w:val="single" w:color="auto" w:sz="4" w:space="0"/>
              <w:right w:val="single" w:color="auto" w:sz="4" w:space="0"/>
            </w:tcBorders>
            <w:vAlign w:val="center"/>
          </w:tcPr>
          <w:p>
            <w:pPr>
              <w:numPr>
                <w:ilvl w:val="0"/>
                <w:numId w:val="0"/>
              </w:numPr>
              <w:topLinePunct/>
              <w:snapToGrid w:val="0"/>
              <w:jc w:val="left"/>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w:t>
            </w:r>
            <w:r>
              <w:rPr>
                <w:rFonts w:hint="eastAsia" w:ascii="Times New Roman" w:hAnsi="Times New Roman"/>
                <w:color w:val="auto"/>
                <w:szCs w:val="21"/>
                <w:highlight w:val="none"/>
                <w:lang w:val="en-US" w:eastAsia="zh-CN"/>
              </w:rPr>
              <w:t>7</w:t>
            </w:r>
            <w:r>
              <w:rPr>
                <w:rFonts w:hint="eastAsia" w:ascii="Times New Roman" w:hAnsi="Times New Roman" w:eastAsia="宋体"/>
                <w:color w:val="auto"/>
                <w:szCs w:val="21"/>
                <w:highlight w:val="none"/>
              </w:rPr>
              <w:t>.</w:t>
            </w:r>
            <w:r>
              <w:rPr>
                <w:rFonts w:hint="eastAsia" w:ascii="Times New Roman" w:hAnsi="Times New Roman"/>
                <w:color w:val="auto"/>
                <w:szCs w:val="21"/>
                <w:highlight w:val="none"/>
                <w:lang w:val="en-US" w:eastAsia="zh-CN"/>
              </w:rPr>
              <w:t>2</w:t>
            </w:r>
            <w:r>
              <w:rPr>
                <w:rFonts w:hint="eastAsia" w:ascii="Times New Roman" w:hAnsi="Times New Roman" w:eastAsia="宋体"/>
                <w:color w:val="auto"/>
                <w:szCs w:val="21"/>
                <w:highlight w:val="none"/>
              </w:rPr>
              <w:t>（A）（1）</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响应文件签字盖章要求</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符合</w:t>
            </w:r>
            <w:r>
              <w:rPr>
                <w:rFonts w:hint="eastAsia" w:ascii="Times New Roman" w:hAnsi="Times New Roman"/>
                <w:color w:val="auto"/>
                <w:szCs w:val="21"/>
                <w:highlight w:val="none"/>
                <w:lang w:val="en-US" w:eastAsia="zh-CN"/>
              </w:rPr>
              <w:t>询比采购</w:t>
            </w:r>
            <w:r>
              <w:rPr>
                <w:rFonts w:hint="eastAsia" w:ascii="Times New Roman" w:hAnsi="Times New Roman" w:eastAsia="宋体"/>
                <w:color w:val="auto"/>
                <w:szCs w:val="21"/>
                <w:highlight w:val="none"/>
              </w:rPr>
              <w:t>文件规定的响应文件格式要求</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r>
              <w:rPr>
                <w:rFonts w:hint="eastAsia" w:ascii="Times New Roman" w:hAnsi="Times New Roman"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（A）（2）</w:t>
            </w:r>
          </w:p>
        </w:tc>
        <w:tc>
          <w:tcPr>
            <w:tcW w:w="32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响应文件副本份数及其他要求</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topLinePunct/>
              <w:adjustRightInd w:val="0"/>
              <w:snapToGrid w:val="0"/>
              <w:spacing w:line="288"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（1）响应文件份数：</w:t>
            </w:r>
            <w:r>
              <w:rPr>
                <w:rFonts w:hint="eastAsia" w:ascii="宋体" w:hAnsi="宋体" w:eastAsia="宋体" w:cs="宋体"/>
                <w:color w:val="auto"/>
                <w:sz w:val="21"/>
                <w:szCs w:val="21"/>
                <w:highlight w:val="none"/>
                <w:u w:val="single"/>
              </w:rPr>
              <w:t>除正本一份外，还需提供副本</w:t>
            </w:r>
            <w:r>
              <w:rPr>
                <w:rFonts w:hint="eastAsia" w:ascii="宋体" w:hAnsi="宋体" w:cs="宋体"/>
                <w:color w:val="auto"/>
                <w:sz w:val="21"/>
                <w:szCs w:val="21"/>
                <w:highlight w:val="none"/>
                <w:u w:val="single"/>
                <w:lang w:val="en-US" w:eastAsia="zh-CN"/>
              </w:rPr>
              <w:t>一</w:t>
            </w:r>
            <w:r>
              <w:rPr>
                <w:rFonts w:hint="eastAsia" w:ascii="宋体" w:hAnsi="宋体" w:eastAsia="宋体" w:cs="宋体"/>
                <w:color w:val="auto"/>
                <w:sz w:val="21"/>
                <w:szCs w:val="21"/>
                <w:highlight w:val="none"/>
                <w:u w:val="single"/>
              </w:rPr>
              <w:t>份。</w:t>
            </w:r>
          </w:p>
          <w:p>
            <w:pPr>
              <w:widowControl/>
              <w:topLinePunct/>
              <w:adjustRightInd w:val="0"/>
              <w:snapToGrid w:val="0"/>
              <w:spacing w:line="288"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（2）是否要求提交电子版响应文件：</w:t>
            </w:r>
            <w:r>
              <w:rPr>
                <w:rFonts w:hint="eastAsia" w:ascii="宋体" w:hAnsi="宋体" w:eastAsia="宋体" w:cs="宋体"/>
                <w:color w:val="auto"/>
                <w:sz w:val="21"/>
                <w:szCs w:val="21"/>
                <w:highlight w:val="none"/>
                <w:u w:val="single"/>
              </w:rPr>
              <w:t>建议供应商提交的响应文件电子文件一份，可以采用光盘或优盘的形式，可随响应文件正本一起密封提供，或单独提供。无论是否提交电子版响应文件，均不影响其响应文件的有效性。</w:t>
            </w:r>
          </w:p>
          <w:p>
            <w:pPr>
              <w:widowControl/>
              <w:topLinePunct/>
              <w:adjustRightInd w:val="0"/>
              <w:snapToGrid w:val="0"/>
              <w:spacing w:line="288" w:lineRule="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（3）其他要求：</w:t>
            </w:r>
            <w:r>
              <w:rPr>
                <w:rFonts w:hint="eastAsia" w:ascii="宋体" w:hAnsi="宋体" w:cs="宋体"/>
                <w:i/>
                <w:color w:val="auto"/>
                <w:sz w:val="21"/>
                <w:szCs w:val="21"/>
                <w:highlight w:val="none"/>
                <w:u w:val="single"/>
                <w:lang w:val="en-US" w:eastAsia="zh-CN"/>
              </w:rPr>
              <w:t>/</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r>
              <w:rPr>
                <w:rFonts w:hint="eastAsia" w:ascii="Times New Roman" w:hAnsi="Times New Roman"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（3）</w:t>
            </w:r>
          </w:p>
        </w:tc>
        <w:tc>
          <w:tcPr>
            <w:tcW w:w="32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响应文件是否需要分册装订</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topLinePunct/>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不需要</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olor w:val="auto"/>
                <w:szCs w:val="21"/>
                <w:highlight w:val="none"/>
              </w:rPr>
            </w:pPr>
            <w:r>
              <w:rPr>
                <w:rFonts w:ascii="Times New Roman" w:hAnsi="Times New Roman"/>
                <w:color w:val="auto"/>
                <w:highlight w:val="none"/>
              </w:rPr>
              <w:t>4.1.2</w:t>
            </w:r>
          </w:p>
        </w:tc>
        <w:tc>
          <w:tcPr>
            <w:tcW w:w="321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宋体"/>
                <w:color w:val="auto"/>
                <w:szCs w:val="21"/>
                <w:highlight w:val="none"/>
              </w:rPr>
            </w:pPr>
            <w:r>
              <w:rPr>
                <w:rFonts w:ascii="Times New Roman" w:hAnsi="Times New Roman"/>
                <w:color w:val="auto"/>
                <w:highlight w:val="none"/>
              </w:rPr>
              <w:t>封套上应载明的信息</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（多包采购的，还应注明包名称及包号）</w:t>
            </w:r>
          </w:p>
          <w:p>
            <w:pPr>
              <w:pStyle w:val="11"/>
              <w:topLinePunct/>
              <w:spacing w:line="400" w:lineRule="exact"/>
              <w:rPr>
                <w:rFonts w:ascii="Times New Roman" w:hAnsi="Times New Roman" w:eastAsia="宋体"/>
                <w:color w:val="auto"/>
                <w:szCs w:val="21"/>
                <w:highlight w:val="none"/>
                <w:u w:val="singl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（联合体响应的，注明牵头人名称）</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宋体"/>
                <w:color w:val="auto"/>
                <w:szCs w:val="21"/>
                <w:highlight w:val="none"/>
                <w:lang w:val="en-US" w:eastAsia="zh-CN"/>
              </w:rPr>
            </w:pPr>
            <w:r>
              <w:rPr>
                <w:rFonts w:ascii="Times New Roman" w:hAnsi="Times New Roman" w:eastAsia="宋体"/>
                <w:color w:val="auto"/>
                <w:szCs w:val="21"/>
                <w:highlight w:val="none"/>
              </w:rPr>
              <w:t>4.2.1</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递交响应文件的截止时间和地点</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olor w:val="auto"/>
                <w:szCs w:val="21"/>
                <w:highlight w:val="none"/>
              </w:rPr>
            </w:pPr>
            <w:r>
              <w:rPr>
                <w:rFonts w:ascii="Times New Roman" w:hAnsi="Times New Roman" w:eastAsia="宋体"/>
                <w:color w:val="auto"/>
                <w:szCs w:val="21"/>
                <w:highlight w:val="none"/>
              </w:rPr>
              <w:t>截止时间：</w:t>
            </w:r>
            <w:r>
              <w:rPr>
                <w:rFonts w:hint="eastAsia" w:ascii="Times New Roman" w:hAnsi="Times New Roman" w:eastAsia="宋体"/>
                <w:color w:val="auto"/>
                <w:highlight w:val="none"/>
                <w:u w:val="single"/>
                <w:lang w:val="en-US" w:eastAsia="zh-CN"/>
              </w:rPr>
              <w:t>见采购公告</w:t>
            </w:r>
            <w:r>
              <w:rPr>
                <w:rFonts w:hint="eastAsia" w:ascii="Times New Roman" w:hAnsi="Times New Roman" w:eastAsia="宋体"/>
                <w:color w:val="auto"/>
                <w:highlight w:val="none"/>
                <w:u w:val="single"/>
              </w:rPr>
              <w:t xml:space="preserve"> </w:t>
            </w:r>
          </w:p>
          <w:p>
            <w:pPr>
              <w:snapToGrid w:val="0"/>
              <w:rPr>
                <w:rFonts w:ascii="Times New Roman" w:hAnsi="Times New Roman" w:eastAsia="宋体"/>
                <w:color w:val="auto"/>
                <w:szCs w:val="21"/>
                <w:highlight w:val="none"/>
              </w:rPr>
            </w:pPr>
            <w:r>
              <w:rPr>
                <w:rFonts w:ascii="Times New Roman" w:hAnsi="Times New Roman" w:eastAsia="宋体"/>
                <w:color w:val="auto"/>
                <w:szCs w:val="21"/>
                <w:highlight w:val="none"/>
              </w:rPr>
              <w:t>递交响应文件的地点：</w:t>
            </w:r>
            <w:r>
              <w:rPr>
                <w:rFonts w:hint="eastAsia" w:ascii="Times New Roman" w:hAnsi="Times New Roman" w:eastAsia="宋体"/>
                <w:color w:val="auto"/>
                <w:highlight w:val="none"/>
                <w:u w:val="single"/>
                <w:lang w:val="en-US" w:eastAsia="zh-CN"/>
              </w:rPr>
              <w:t>见采购公告</w:t>
            </w:r>
            <w:r>
              <w:rPr>
                <w:rFonts w:hint="eastAsia" w:ascii="Times New Roman" w:hAnsi="Times New Roman" w:eastAsia="宋体"/>
                <w:color w:val="auto"/>
                <w:highlight w:val="none"/>
                <w:u w:val="single"/>
              </w:rPr>
              <w:t xml:space="preserve"> </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4.2.2</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是否退还响应文件</w:t>
            </w:r>
          </w:p>
        </w:tc>
        <w:tc>
          <w:tcPr>
            <w:tcW w:w="4536" w:type="dxa"/>
            <w:tcBorders>
              <w:top w:val="single" w:color="auto" w:sz="4" w:space="0"/>
              <w:left w:val="single" w:color="auto" w:sz="4" w:space="0"/>
              <w:bottom w:val="single" w:color="auto" w:sz="4" w:space="0"/>
              <w:right w:val="single" w:color="auto" w:sz="4" w:space="0"/>
            </w:tcBorders>
            <w:vAlign w:val="center"/>
          </w:tcPr>
          <w:p>
            <w:pPr>
              <w:pStyle w:val="11"/>
              <w:topLinePunct/>
              <w:snapToGrid w:val="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sym w:font="Wingdings 2" w:char="0052"/>
            </w:r>
            <w:r>
              <w:rPr>
                <w:rFonts w:ascii="Times New Roman" w:hAnsi="Times New Roman" w:eastAsia="宋体"/>
                <w:color w:val="auto"/>
                <w:sz w:val="21"/>
                <w:szCs w:val="21"/>
                <w:highlight w:val="none"/>
              </w:rPr>
              <w:t>否</w:t>
            </w:r>
          </w:p>
          <w:p>
            <w:pPr>
              <w:snapToGrid w:val="0"/>
              <w:rPr>
                <w:rFonts w:ascii="Times New Roman" w:hAnsi="Times New Roman" w:eastAsia="宋体"/>
                <w:color w:val="auto"/>
                <w:szCs w:val="21"/>
                <w:highlight w:val="none"/>
              </w:rPr>
            </w:pPr>
            <w:r>
              <w:rPr>
                <w:rFonts w:ascii="Times New Roman" w:hAnsi="Times New Roman" w:eastAsia="宋体"/>
                <w:color w:val="auto"/>
                <w:szCs w:val="21"/>
                <w:highlight w:val="none"/>
              </w:rPr>
              <w:sym w:font="Wingdings 2" w:char="00A3"/>
            </w:r>
            <w:r>
              <w:rPr>
                <w:rFonts w:ascii="Times New Roman" w:hAnsi="Times New Roman" w:eastAsia="宋体"/>
                <w:color w:val="auto"/>
                <w:szCs w:val="21"/>
                <w:highlight w:val="none"/>
              </w:rPr>
              <w:t>是，退还时间：</w:t>
            </w:r>
            <w:r>
              <w:rPr>
                <w:rFonts w:ascii="Times New Roman" w:hAnsi="Times New Roman" w:eastAsia="宋体"/>
                <w:color w:val="auto"/>
                <w:highlight w:val="none"/>
                <w:u w:val="single"/>
              </w:rPr>
              <w:t xml:space="preserve">          </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4.3.3</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highlight w:val="none"/>
              </w:rPr>
            </w:pPr>
            <w:r>
              <w:rPr>
                <w:rFonts w:ascii="Times New Roman" w:hAnsi="Times New Roman" w:eastAsia="宋体"/>
                <w:color w:val="auto"/>
                <w:highlight w:val="none"/>
              </w:rPr>
              <w:t>供应商撤回响应文件情况下</w:t>
            </w:r>
          </w:p>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退还响应保证金的时间</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rPr>
                <w:rFonts w:ascii="Times New Roman" w:hAnsi="Times New Roman" w:eastAsia="宋体"/>
                <w:color w:val="auto"/>
                <w:sz w:val="32"/>
                <w:szCs w:val="32"/>
                <w:highlight w:val="none"/>
              </w:rPr>
            </w:pPr>
            <w:r>
              <w:rPr>
                <w:rFonts w:ascii="Times New Roman" w:hAnsi="Times New Roman" w:eastAsia="宋体"/>
                <w:color w:val="auto"/>
                <w:szCs w:val="21"/>
                <w:highlight w:val="none"/>
              </w:rPr>
              <w:t>自采购人收到供应商递交的书面通知之日起</w:t>
            </w:r>
            <w:r>
              <w:rPr>
                <w:rFonts w:hint="eastAsia" w:ascii="Times New Roman" w:hAnsi="Times New Roman"/>
                <w:color w:val="auto"/>
                <w:szCs w:val="21"/>
                <w:highlight w:val="none"/>
                <w:u w:val="single"/>
                <w:lang w:val="en-US" w:eastAsia="zh-CN"/>
              </w:rPr>
              <w:t>3</w:t>
            </w:r>
            <w:r>
              <w:rPr>
                <w:rFonts w:ascii="Times New Roman" w:hAnsi="Times New Roman" w:eastAsia="宋体"/>
                <w:color w:val="auto"/>
                <w:szCs w:val="21"/>
                <w:highlight w:val="none"/>
              </w:rPr>
              <w:t>日内</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right w:val="single" w:color="auto" w:sz="4" w:space="0"/>
            </w:tcBorders>
            <w:vAlign w:val="center"/>
          </w:tcPr>
          <w:p>
            <w:pPr>
              <w:snapToGrid w:val="0"/>
              <w:jc w:val="center"/>
              <w:rPr>
                <w:rFonts w:hint="eastAsia" w:ascii="Times New Roman" w:hAnsi="Times New Roman" w:eastAsia="宋体"/>
                <w:color w:val="auto"/>
                <w:szCs w:val="21"/>
                <w:highlight w:val="none"/>
                <w:lang w:eastAsia="zh-CN"/>
              </w:rPr>
            </w:pPr>
            <w:r>
              <w:rPr>
                <w:rFonts w:ascii="Times New Roman" w:hAnsi="Times New Roman" w:eastAsia="宋体"/>
                <w:color w:val="auto"/>
                <w:szCs w:val="21"/>
                <w:highlight w:val="none"/>
              </w:rPr>
              <w:t>5.2（</w:t>
            </w:r>
            <w:r>
              <w:rPr>
                <w:rFonts w:hint="eastAsia" w:ascii="Times New Roman" w:hAnsi="Times New Roman"/>
                <w:color w:val="auto"/>
                <w:szCs w:val="21"/>
                <w:highlight w:val="none"/>
                <w:lang w:val="en-US" w:eastAsia="zh-CN"/>
              </w:rPr>
              <w:t>3</w:t>
            </w:r>
            <w:r>
              <w:rPr>
                <w:rFonts w:ascii="Times New Roman" w:hAnsi="Times New Roman" w:eastAsia="宋体"/>
                <w:color w:val="auto"/>
                <w:szCs w:val="21"/>
                <w:highlight w:val="none"/>
              </w:rPr>
              <w:t>）</w:t>
            </w:r>
          </w:p>
        </w:tc>
        <w:tc>
          <w:tcPr>
            <w:tcW w:w="3211"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开启程序</w:t>
            </w:r>
          </w:p>
        </w:tc>
        <w:tc>
          <w:tcPr>
            <w:tcW w:w="4536" w:type="dxa"/>
            <w:tcBorders>
              <w:top w:val="single" w:color="auto" w:sz="4" w:space="0"/>
              <w:left w:val="single" w:color="auto" w:sz="4" w:space="0"/>
              <w:right w:val="single" w:color="auto" w:sz="4" w:space="0"/>
            </w:tcBorders>
            <w:vAlign w:val="center"/>
          </w:tcPr>
          <w:p>
            <w:pPr>
              <w:snapToGrid w:val="0"/>
              <w:rPr>
                <w:rFonts w:hint="eastAsia" w:ascii="Times New Roman" w:hAnsi="Times New Roman" w:eastAsia="宋体"/>
                <w:color w:val="auto"/>
                <w:highlight w:val="none"/>
                <w:lang w:eastAsia="zh-CN"/>
              </w:rPr>
            </w:pPr>
            <w:r>
              <w:rPr>
                <w:rFonts w:ascii="Times New Roman" w:hAnsi="Times New Roman" w:eastAsia="宋体"/>
                <w:color w:val="auto"/>
                <w:highlight w:val="none"/>
              </w:rPr>
              <w:t>开启顺序：</w:t>
            </w:r>
            <w:r>
              <w:rPr>
                <w:rFonts w:hint="eastAsia" w:ascii="Times New Roman" w:hAnsi="Times New Roman"/>
                <w:color w:val="auto"/>
                <w:highlight w:val="none"/>
                <w:u w:val="single"/>
                <w:lang w:val="en-US" w:eastAsia="zh-CN"/>
              </w:rPr>
              <w:t>随机</w:t>
            </w:r>
          </w:p>
          <w:p>
            <w:pPr>
              <w:snapToGrid w:val="0"/>
              <w:rPr>
                <w:rFonts w:ascii="Times New Roman" w:hAnsi="Times New Roman" w:eastAsia="宋体"/>
                <w:color w:val="auto"/>
                <w:highlight w:val="none"/>
              </w:rPr>
            </w:pPr>
            <w:r>
              <w:rPr>
                <w:rFonts w:ascii="Times New Roman" w:hAnsi="Times New Roman" w:eastAsia="宋体"/>
                <w:color w:val="auto"/>
                <w:highlight w:val="none"/>
              </w:rPr>
              <w:t>其他应公布的信息：</w:t>
            </w:r>
            <w:r>
              <w:rPr>
                <w:rFonts w:ascii="Times New Roman" w:hAnsi="Times New Roman" w:eastAsia="宋体"/>
                <w:color w:val="auto"/>
                <w:highlight w:val="none"/>
                <w:u w:val="single"/>
              </w:rPr>
              <w:t xml:space="preserve"> </w:t>
            </w:r>
            <w:r>
              <w:rPr>
                <w:rFonts w:hint="eastAsia" w:ascii="Times New Roman" w:hAnsi="Times New Roman"/>
                <w:color w:val="auto"/>
                <w:highlight w:val="none"/>
                <w:u w:val="single"/>
                <w:lang w:val="en-US" w:eastAsia="zh-CN"/>
              </w:rPr>
              <w:t>/</w:t>
            </w:r>
            <w:r>
              <w:rPr>
                <w:rFonts w:hint="eastAsia" w:ascii="Times New Roman" w:hAnsi="Times New Roman" w:eastAsia="宋体"/>
                <w:color w:val="auto"/>
                <w:highlight w:val="none"/>
                <w:u w:val="single"/>
              </w:rPr>
              <w:t xml:space="preserve"> </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6.</w:t>
            </w:r>
            <w:r>
              <w:rPr>
                <w:rFonts w:hint="eastAsia" w:ascii="Times New Roman" w:hAnsi="Times New Roman" w:eastAsia="宋体"/>
                <w:color w:val="auto"/>
                <w:szCs w:val="21"/>
                <w:highlight w:val="none"/>
              </w:rPr>
              <w:t>2</w:t>
            </w:r>
            <w:r>
              <w:rPr>
                <w:rFonts w:ascii="Times New Roman" w:hAnsi="Times New Roman" w:eastAsia="宋体"/>
                <w:color w:val="auto"/>
                <w:szCs w:val="21"/>
                <w:highlight w:val="none"/>
              </w:rPr>
              <w:t>.2</w:t>
            </w:r>
          </w:p>
        </w:tc>
        <w:tc>
          <w:tcPr>
            <w:tcW w:w="3211"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推荐候选成交供应商的</w:t>
            </w:r>
          </w:p>
          <w:p>
            <w:pPr>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排序及</w:t>
            </w:r>
            <w:r>
              <w:rPr>
                <w:rFonts w:ascii="Times New Roman" w:hAnsi="Times New Roman" w:eastAsia="宋体"/>
                <w:color w:val="auto"/>
                <w:szCs w:val="21"/>
                <w:highlight w:val="none"/>
              </w:rPr>
              <w:t>数量</w:t>
            </w:r>
          </w:p>
        </w:tc>
        <w:tc>
          <w:tcPr>
            <w:tcW w:w="4536" w:type="dxa"/>
            <w:tcBorders>
              <w:top w:val="single" w:color="auto" w:sz="4" w:space="0"/>
              <w:left w:val="single" w:color="auto" w:sz="4" w:space="0"/>
              <w:right w:val="single" w:color="auto" w:sz="4" w:space="0"/>
            </w:tcBorders>
            <w:vAlign w:val="center"/>
          </w:tcPr>
          <w:p>
            <w:pPr>
              <w:pStyle w:val="11"/>
              <w:topLinePunct/>
              <w:snapToGrid w:val="0"/>
              <w:rPr>
                <w:rFonts w:ascii="Times New Roman" w:hAnsi="Times New Roman" w:eastAsia="宋体"/>
                <w:color w:val="auto"/>
                <w:sz w:val="21"/>
                <w:szCs w:val="22"/>
                <w:highlight w:val="none"/>
              </w:rPr>
            </w:pPr>
            <w:r>
              <w:rPr>
                <w:rFonts w:hint="eastAsia" w:ascii="Times New Roman" w:hAnsi="Times New Roman" w:eastAsia="宋体"/>
                <w:color w:val="auto"/>
                <w:sz w:val="21"/>
                <w:szCs w:val="21"/>
                <w:highlight w:val="none"/>
              </w:rPr>
              <w:t>是</w:t>
            </w:r>
            <w:r>
              <w:rPr>
                <w:rFonts w:hint="eastAsia" w:ascii="Times New Roman" w:hAnsi="Times New Roman" w:eastAsia="宋体"/>
                <w:color w:val="auto"/>
                <w:sz w:val="21"/>
                <w:szCs w:val="22"/>
                <w:highlight w:val="none"/>
              </w:rPr>
              <w:t>否排序：</w:t>
            </w:r>
          </w:p>
          <w:p>
            <w:pPr>
              <w:pStyle w:val="11"/>
              <w:topLinePunct/>
              <w:snapToGrid w:val="0"/>
              <w:rPr>
                <w:rFonts w:ascii="Times New Roman" w:hAnsi="Times New Roman" w:eastAsia="宋体"/>
                <w:color w:val="auto"/>
                <w:sz w:val="21"/>
                <w:szCs w:val="22"/>
                <w:highlight w:val="none"/>
              </w:rPr>
            </w:pPr>
            <w:r>
              <w:rPr>
                <w:rFonts w:ascii="Times New Roman" w:hAnsi="Times New Roman" w:eastAsia="宋体"/>
                <w:color w:val="auto"/>
                <w:sz w:val="21"/>
                <w:szCs w:val="22"/>
                <w:highlight w:val="none"/>
              </w:rPr>
              <w:sym w:font="Wingdings 2" w:char="0052"/>
            </w:r>
            <w:r>
              <w:rPr>
                <w:rFonts w:hint="eastAsia" w:ascii="Times New Roman" w:hAnsi="Times New Roman" w:eastAsia="宋体"/>
                <w:color w:val="auto"/>
                <w:sz w:val="21"/>
                <w:szCs w:val="22"/>
                <w:highlight w:val="none"/>
              </w:rPr>
              <w:t>排序</w:t>
            </w:r>
          </w:p>
          <w:p>
            <w:pPr>
              <w:pStyle w:val="11"/>
              <w:topLinePunct/>
              <w:snapToGrid w:val="0"/>
              <w:rPr>
                <w:rFonts w:ascii="Times New Roman" w:hAnsi="Times New Roman" w:eastAsia="宋体"/>
                <w:color w:val="auto"/>
                <w:sz w:val="21"/>
                <w:szCs w:val="22"/>
                <w:highlight w:val="none"/>
              </w:rPr>
            </w:pPr>
            <w:r>
              <w:rPr>
                <w:rFonts w:ascii="Times New Roman" w:hAnsi="Times New Roman" w:eastAsia="宋体"/>
                <w:color w:val="auto"/>
                <w:sz w:val="21"/>
                <w:szCs w:val="22"/>
                <w:highlight w:val="none"/>
              </w:rPr>
              <w:sym w:font="Wingdings 2" w:char="00A3"/>
            </w:r>
            <w:r>
              <w:rPr>
                <w:rFonts w:hint="eastAsia" w:ascii="Times New Roman" w:hAnsi="Times New Roman" w:eastAsia="宋体"/>
                <w:color w:val="auto"/>
                <w:sz w:val="21"/>
                <w:szCs w:val="22"/>
                <w:highlight w:val="none"/>
              </w:rPr>
              <w:t>不</w:t>
            </w:r>
            <w:r>
              <w:rPr>
                <w:rFonts w:ascii="Times New Roman" w:hAnsi="Times New Roman" w:eastAsia="宋体"/>
                <w:color w:val="auto"/>
                <w:sz w:val="21"/>
                <w:szCs w:val="22"/>
                <w:highlight w:val="none"/>
              </w:rPr>
              <w:t>排序</w:t>
            </w:r>
          </w:p>
          <w:p>
            <w:pPr>
              <w:pStyle w:val="11"/>
              <w:topLinePunct/>
              <w:snapToGrid w:val="0"/>
              <w:rPr>
                <w:color w:val="auto"/>
                <w:sz w:val="21"/>
                <w:szCs w:val="21"/>
                <w:highlight w:val="none"/>
              </w:rPr>
            </w:pPr>
            <w:r>
              <w:rPr>
                <w:rFonts w:hint="eastAsia" w:ascii="Times New Roman" w:hAnsi="Times New Roman" w:eastAsia="宋体"/>
                <w:color w:val="auto"/>
                <w:sz w:val="21"/>
                <w:szCs w:val="22"/>
                <w:highlight w:val="none"/>
              </w:rPr>
              <w:t>数量：</w:t>
            </w:r>
            <w:r>
              <w:rPr>
                <w:rFonts w:ascii="Times New Roman" w:hAnsi="Times New Roman" w:eastAsia="宋体"/>
                <w:color w:val="auto"/>
                <w:highlight w:val="none"/>
                <w:u w:val="single"/>
              </w:rPr>
              <w:t xml:space="preserve"> </w:t>
            </w:r>
            <w:r>
              <w:rPr>
                <w:rFonts w:hint="eastAsia" w:ascii="Times New Roman" w:hAnsi="Times New Roman"/>
                <w:color w:val="auto"/>
                <w:highlight w:val="none"/>
                <w:u w:val="single"/>
                <w:lang w:val="en-US" w:eastAsia="zh-CN"/>
              </w:rPr>
              <w:t>1</w:t>
            </w:r>
            <w:r>
              <w:rPr>
                <w:rFonts w:hint="eastAsia" w:ascii="Times New Roman" w:hAnsi="Times New Roman" w:eastAsia="宋体"/>
                <w:color w:val="auto"/>
                <w:highlight w:val="none"/>
                <w:u w:val="single"/>
              </w:rPr>
              <w:t xml:space="preserve"> </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7.3</w:t>
            </w:r>
          </w:p>
        </w:tc>
        <w:tc>
          <w:tcPr>
            <w:tcW w:w="3211"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hint="eastAsia" w:ascii="Times New Roman" w:hAnsi="Times New Roman" w:eastAsia="宋体"/>
                <w:color w:val="auto"/>
                <w:highlight w:val="none"/>
              </w:rPr>
              <w:t>预成交结果公示</w:t>
            </w:r>
          </w:p>
        </w:tc>
        <w:tc>
          <w:tcPr>
            <w:tcW w:w="4536" w:type="dxa"/>
            <w:tcBorders>
              <w:top w:val="single" w:color="auto" w:sz="4" w:space="0"/>
              <w:left w:val="single" w:color="auto" w:sz="4" w:space="0"/>
              <w:right w:val="single" w:color="auto" w:sz="4" w:space="0"/>
            </w:tcBorders>
            <w:vAlign w:val="center"/>
          </w:tcPr>
          <w:p>
            <w:pPr>
              <w:snapToGrid w:val="0"/>
              <w:rPr>
                <w:rFonts w:ascii="Times New Roman" w:hAnsi="Times New Roman" w:eastAsia="宋体"/>
                <w:color w:val="auto"/>
                <w:highlight w:val="none"/>
              </w:rPr>
            </w:pPr>
            <w:r>
              <w:rPr>
                <w:rFonts w:ascii="Times New Roman" w:hAnsi="Times New Roman" w:eastAsia="宋体"/>
                <w:color w:val="auto"/>
                <w:highlight w:val="none"/>
              </w:rPr>
              <w:t>公示媒介：</w:t>
            </w:r>
            <w:r>
              <w:rPr>
                <w:rFonts w:hint="eastAsia" w:ascii="Times New Roman" w:hAnsi="Times New Roman"/>
                <w:color w:val="auto"/>
                <w:highlight w:val="none"/>
                <w:u w:val="single"/>
                <w:lang w:eastAsia="zh-CN"/>
              </w:rPr>
              <w:t>郎溪县中医院官网（www.lxxzyy.net）</w:t>
            </w:r>
          </w:p>
          <w:p>
            <w:pPr>
              <w:snapToGrid w:val="0"/>
              <w:rPr>
                <w:rFonts w:ascii="Times New Roman" w:hAnsi="Times New Roman" w:eastAsia="宋体"/>
                <w:color w:val="auto"/>
                <w:highlight w:val="none"/>
              </w:rPr>
            </w:pPr>
            <w:r>
              <w:rPr>
                <w:rFonts w:ascii="Times New Roman" w:hAnsi="Times New Roman" w:eastAsia="宋体"/>
                <w:color w:val="auto"/>
                <w:highlight w:val="none"/>
              </w:rPr>
              <w:t>公示期限：</w:t>
            </w:r>
            <w:r>
              <w:rPr>
                <w:rFonts w:ascii="Times New Roman" w:hAnsi="Times New Roman" w:eastAsia="宋体"/>
                <w:color w:val="auto"/>
                <w:highlight w:val="none"/>
                <w:u w:val="single"/>
              </w:rPr>
              <w:t xml:space="preserve"> </w:t>
            </w:r>
            <w:r>
              <w:rPr>
                <w:rFonts w:hint="eastAsia" w:ascii="Times New Roman" w:hAnsi="Times New Roman"/>
                <w:color w:val="auto"/>
                <w:highlight w:val="none"/>
                <w:u w:val="single"/>
                <w:lang w:val="en-US" w:eastAsia="zh-CN"/>
              </w:rPr>
              <w:t>1日</w:t>
            </w:r>
            <w:r>
              <w:rPr>
                <w:rFonts w:ascii="Times New Roman" w:hAnsi="Times New Roman" w:eastAsia="宋体"/>
                <w:color w:val="auto"/>
                <w:highlight w:val="none"/>
                <w:u w:val="single"/>
              </w:rPr>
              <w:t xml:space="preserve">   </w:t>
            </w:r>
          </w:p>
          <w:p>
            <w:pPr>
              <w:pStyle w:val="12"/>
              <w:snapToGrid w:val="0"/>
              <w:spacing w:line="240" w:lineRule="auto"/>
              <w:rPr>
                <w:color w:val="auto"/>
                <w:highlight w:val="none"/>
              </w:rPr>
            </w:pPr>
            <w:r>
              <w:rPr>
                <w:rFonts w:hint="eastAsia" w:ascii="Times New Roman" w:hAnsi="Times New Roman" w:eastAsia="宋体" w:cs="Times New Roman"/>
                <w:color w:val="auto"/>
                <w:kern w:val="2"/>
                <w:sz w:val="21"/>
                <w:szCs w:val="22"/>
                <w:highlight w:val="none"/>
                <w:lang w:val="en-US" w:eastAsia="zh-CN" w:bidi="ar-SA"/>
              </w:rPr>
              <w:t xml:space="preserve">其他应公示的内容： / </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7.5</w:t>
            </w:r>
          </w:p>
        </w:tc>
        <w:tc>
          <w:tcPr>
            <w:tcW w:w="3211" w:type="dxa"/>
            <w:tcBorders>
              <w:top w:val="single" w:color="auto" w:sz="4" w:space="0"/>
              <w:left w:val="single" w:color="auto" w:sz="4" w:space="0"/>
              <w:right w:val="single" w:color="auto" w:sz="4" w:space="0"/>
            </w:tcBorders>
            <w:vAlign w:val="center"/>
          </w:tcPr>
          <w:p>
            <w:pPr>
              <w:snapToGrid w:val="0"/>
              <w:jc w:val="center"/>
              <w:rPr>
                <w:rFonts w:ascii="Times New Roman" w:hAnsi="Times New Roman" w:eastAsia="宋体"/>
                <w:color w:val="auto"/>
                <w:highlight w:val="none"/>
              </w:rPr>
            </w:pPr>
            <w:r>
              <w:rPr>
                <w:rFonts w:hint="eastAsia" w:ascii="Times New Roman" w:hAnsi="Times New Roman" w:eastAsia="宋体"/>
                <w:color w:val="auto"/>
                <w:highlight w:val="none"/>
              </w:rPr>
              <w:t>发布成交公告</w:t>
            </w:r>
          </w:p>
        </w:tc>
        <w:tc>
          <w:tcPr>
            <w:tcW w:w="4536" w:type="dxa"/>
            <w:tcBorders>
              <w:top w:val="single" w:color="auto" w:sz="4" w:space="0"/>
              <w:left w:val="single" w:color="auto" w:sz="4" w:space="0"/>
              <w:right w:val="single" w:color="auto" w:sz="4" w:space="0"/>
            </w:tcBorders>
            <w:vAlign w:val="center"/>
          </w:tcPr>
          <w:p>
            <w:pPr>
              <w:snapToGrid w:val="0"/>
              <w:rPr>
                <w:rFonts w:ascii="Times New Roman" w:hAnsi="Times New Roman" w:eastAsia="宋体"/>
                <w:color w:val="auto"/>
                <w:highlight w:val="none"/>
              </w:rPr>
            </w:pPr>
            <w:r>
              <w:rPr>
                <w:rFonts w:hint="eastAsia" w:ascii="Times New Roman" w:hAnsi="Times New Roman" w:eastAsia="宋体"/>
                <w:color w:val="auto"/>
                <w:highlight w:val="none"/>
              </w:rPr>
              <w:t>预成交结果公示</w:t>
            </w:r>
            <w:r>
              <w:rPr>
                <w:rFonts w:hint="eastAsia" w:ascii="Times New Roman" w:hAnsi="Times New Roman" w:eastAsia="宋体"/>
                <w:color w:val="auto"/>
                <w:highlight w:val="none"/>
                <w:lang w:val="en-US" w:eastAsia="zh-CN"/>
              </w:rPr>
              <w:t>期满无异议按</w:t>
            </w:r>
            <w:r>
              <w:rPr>
                <w:rFonts w:hint="eastAsia" w:ascii="Times New Roman" w:hAnsi="Times New Roman" w:eastAsia="宋体"/>
                <w:color w:val="auto"/>
                <w:highlight w:val="none"/>
              </w:rPr>
              <w:t>预成交结果公示</w:t>
            </w:r>
            <w:r>
              <w:rPr>
                <w:rFonts w:hint="eastAsia" w:ascii="Times New Roman" w:hAnsi="Times New Roman" w:eastAsia="宋体"/>
                <w:color w:val="auto"/>
                <w:highlight w:val="none"/>
                <w:lang w:val="en-US" w:eastAsia="zh-CN"/>
              </w:rPr>
              <w:t>结果确定成交供应商，</w:t>
            </w:r>
            <w:r>
              <w:rPr>
                <w:rFonts w:hint="eastAsia" w:ascii="Times New Roman" w:hAnsi="Times New Roman"/>
                <w:color w:val="auto"/>
                <w:highlight w:val="none"/>
                <w:lang w:val="en-US" w:eastAsia="zh-CN"/>
              </w:rPr>
              <w:t>不再发布成交公告</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7.6</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履约保证金</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olor w:val="auto"/>
                <w:highlight w:val="none"/>
              </w:rPr>
            </w:pPr>
            <w:r>
              <w:rPr>
                <w:rFonts w:ascii="Times New Roman" w:hAnsi="Times New Roman" w:eastAsia="宋体"/>
                <w:color w:val="auto"/>
                <w:highlight w:val="none"/>
              </w:rPr>
              <w:sym w:font="Wingdings 2" w:char="0052"/>
            </w:r>
            <w:r>
              <w:rPr>
                <w:rFonts w:ascii="Times New Roman" w:hAnsi="Times New Roman" w:eastAsia="宋体"/>
                <w:color w:val="auto"/>
                <w:highlight w:val="none"/>
              </w:rPr>
              <w:t>不要求</w:t>
            </w:r>
            <w:r>
              <w:rPr>
                <w:rFonts w:hint="eastAsia" w:ascii="Times New Roman" w:hAnsi="Times New Roman" w:eastAsia="宋体"/>
                <w:color w:val="auto"/>
                <w:highlight w:val="none"/>
              </w:rPr>
              <w:t>递交</w:t>
            </w:r>
          </w:p>
          <w:p>
            <w:pPr>
              <w:snapToGrid w:val="0"/>
              <w:rPr>
                <w:rFonts w:ascii="Times New Roman" w:hAnsi="Times New Roman" w:eastAsia="宋体"/>
                <w:color w:val="auto"/>
                <w:highlight w:val="none"/>
              </w:rPr>
            </w:pPr>
            <w:r>
              <w:rPr>
                <w:rFonts w:ascii="Times New Roman" w:hAnsi="Times New Roman" w:eastAsia="宋体"/>
                <w:color w:val="auto"/>
                <w:highlight w:val="none"/>
              </w:rPr>
              <w:sym w:font="Wingdings 2" w:char="00A3"/>
            </w:r>
            <w:r>
              <w:rPr>
                <w:rFonts w:ascii="Times New Roman" w:hAnsi="Times New Roman" w:eastAsia="宋体"/>
                <w:color w:val="auto"/>
                <w:highlight w:val="none"/>
              </w:rPr>
              <w:t>要求</w:t>
            </w:r>
            <w:r>
              <w:rPr>
                <w:rFonts w:hint="eastAsia" w:ascii="Times New Roman" w:hAnsi="Times New Roman" w:eastAsia="宋体"/>
                <w:color w:val="auto"/>
                <w:highlight w:val="none"/>
              </w:rPr>
              <w:t>递交</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7.7.4</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签约合同价</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8.1</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highlight w:val="none"/>
              </w:rPr>
              <w:t>异议渠道</w:t>
            </w:r>
          </w:p>
        </w:tc>
        <w:tc>
          <w:tcPr>
            <w:tcW w:w="4536" w:type="dxa"/>
            <w:tcBorders>
              <w:top w:val="single" w:color="auto" w:sz="4" w:space="0"/>
              <w:left w:val="single" w:color="auto" w:sz="4" w:space="0"/>
              <w:bottom w:val="single" w:color="auto" w:sz="4" w:space="0"/>
              <w:right w:val="single" w:color="auto" w:sz="4" w:space="0"/>
            </w:tcBorders>
            <w:vAlign w:val="center"/>
          </w:tcPr>
          <w:p>
            <w:pPr>
              <w:pStyle w:val="11"/>
              <w:topLinePunct/>
              <w:snapToGrid w:val="0"/>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联系人：</w:t>
            </w:r>
            <w:r>
              <w:rPr>
                <w:rFonts w:ascii="Times New Roman" w:hAnsi="Times New Roman" w:eastAsia="宋体"/>
                <w:color w:val="auto"/>
                <w:sz w:val="21"/>
                <w:szCs w:val="21"/>
                <w:highlight w:val="none"/>
                <w:u w:val="single"/>
              </w:rPr>
              <w:t xml:space="preserve"> </w:t>
            </w:r>
            <w:r>
              <w:rPr>
                <w:rFonts w:hint="eastAsia" w:ascii="Times New Roman" w:hAnsi="Times New Roman"/>
                <w:color w:val="auto"/>
                <w:sz w:val="21"/>
                <w:szCs w:val="21"/>
                <w:highlight w:val="none"/>
                <w:u w:val="single"/>
                <w:lang w:eastAsia="zh-CN"/>
              </w:rPr>
              <w:t>段科长</w:t>
            </w:r>
            <w:r>
              <w:rPr>
                <w:rFonts w:ascii="Times New Roman" w:hAnsi="Times New Roman" w:eastAsia="宋体"/>
                <w:color w:val="auto"/>
                <w:sz w:val="21"/>
                <w:szCs w:val="21"/>
                <w:highlight w:val="none"/>
                <w:u w:val="single"/>
              </w:rPr>
              <w:t xml:space="preserve"> </w:t>
            </w:r>
          </w:p>
          <w:p>
            <w:pPr>
              <w:pStyle w:val="11"/>
              <w:topLinePunct/>
              <w:snapToGrid w:val="0"/>
              <w:rPr>
                <w:rFonts w:hint="default" w:ascii="Times New Roman" w:hAnsi="Times New Roman" w:eastAsia="宋体"/>
                <w:color w:val="auto"/>
                <w:sz w:val="21"/>
                <w:szCs w:val="21"/>
                <w:highlight w:val="none"/>
                <w:lang w:val="en-US" w:eastAsia="zh-CN"/>
              </w:rPr>
            </w:pPr>
            <w:r>
              <w:rPr>
                <w:rFonts w:ascii="Times New Roman" w:hAnsi="Times New Roman" w:eastAsia="宋体"/>
                <w:color w:val="auto"/>
                <w:sz w:val="21"/>
                <w:szCs w:val="21"/>
                <w:highlight w:val="none"/>
              </w:rPr>
              <w:t>联系电话：</w:t>
            </w:r>
            <w:r>
              <w:rPr>
                <w:rFonts w:hint="eastAsia" w:ascii="Times New Roman" w:hAnsi="Times New Roman"/>
                <w:color w:val="auto"/>
                <w:sz w:val="21"/>
                <w:szCs w:val="21"/>
                <w:highlight w:val="none"/>
                <w:u w:val="single"/>
                <w:lang w:val="en-US" w:eastAsia="zh-CN"/>
              </w:rPr>
              <w:t>13865340288</w:t>
            </w:r>
          </w:p>
          <w:p>
            <w:pPr>
              <w:pStyle w:val="11"/>
              <w:topLinePunct/>
              <w:snapToGrid w:val="0"/>
              <w:rPr>
                <w:rFonts w:hint="eastAsia" w:ascii="Times New Roman" w:hAnsi="Times New Roman" w:eastAsia="宋体" w:cs="Times New Roman"/>
                <w:color w:val="auto"/>
                <w:sz w:val="21"/>
                <w:szCs w:val="21"/>
                <w:highlight w:val="none"/>
                <w:u w:val="single"/>
                <w:lang w:val="en-US" w:eastAsia="zh-CN"/>
              </w:rPr>
            </w:pPr>
            <w:r>
              <w:rPr>
                <w:rFonts w:ascii="Times New Roman" w:hAnsi="Times New Roman" w:eastAsia="宋体"/>
                <w:color w:val="auto"/>
                <w:sz w:val="21"/>
                <w:szCs w:val="21"/>
                <w:highlight w:val="none"/>
              </w:rPr>
              <w:t>通</w:t>
            </w:r>
            <w:r>
              <w:rPr>
                <w:rFonts w:hint="eastAsia" w:ascii="Times New Roman" w:hAnsi="Times New Roman" w:eastAsia="宋体"/>
                <w:color w:val="auto"/>
                <w:sz w:val="21"/>
                <w:szCs w:val="21"/>
                <w:highlight w:val="none"/>
              </w:rPr>
              <w:t>信</w:t>
            </w:r>
            <w:r>
              <w:rPr>
                <w:rFonts w:ascii="Times New Roman" w:hAnsi="Times New Roman" w:eastAsia="宋体"/>
                <w:color w:val="auto"/>
                <w:sz w:val="21"/>
                <w:szCs w:val="21"/>
                <w:highlight w:val="none"/>
              </w:rPr>
              <w:t>地址：</w:t>
            </w:r>
            <w:r>
              <w:rPr>
                <w:rFonts w:hint="eastAsia" w:ascii="Times New Roman" w:hAnsi="Times New Roman"/>
                <w:color w:val="auto"/>
                <w:sz w:val="21"/>
                <w:szCs w:val="21"/>
                <w:highlight w:val="none"/>
                <w:u w:val="single"/>
                <w:lang w:eastAsia="zh-CN"/>
              </w:rPr>
              <w:t>安徽省郎溪县中医院医学装备科</w:t>
            </w:r>
          </w:p>
          <w:p>
            <w:pPr>
              <w:pStyle w:val="11"/>
              <w:topLinePunct/>
              <w:snapToGrid w:val="0"/>
              <w:rPr>
                <w:rFonts w:ascii="Times New Roman" w:hAnsi="Times New Roman" w:eastAsia="宋体"/>
                <w:color w:val="auto"/>
                <w:szCs w:val="21"/>
                <w:highlight w:val="none"/>
              </w:rPr>
            </w:pP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8.2</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监督部门</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olor w:val="auto"/>
                <w:highlight w:val="none"/>
                <w:lang w:val="en-US"/>
              </w:rPr>
            </w:pPr>
            <w:r>
              <w:rPr>
                <w:rFonts w:hint="eastAsia" w:ascii="Times New Roman" w:hAnsi="Times New Roman" w:eastAsia="宋体" w:cs="Times New Roman"/>
                <w:color w:val="auto"/>
                <w:highlight w:val="none"/>
                <w:lang w:val="en-US" w:eastAsia="zh-CN"/>
              </w:rPr>
              <w:t>郎溪县中医院审计监督部</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10.1</w:t>
            </w:r>
          </w:p>
        </w:tc>
        <w:tc>
          <w:tcPr>
            <w:tcW w:w="32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b/>
                <w:color w:val="auto"/>
                <w:szCs w:val="21"/>
                <w:highlight w:val="none"/>
              </w:rPr>
            </w:pPr>
            <w:r>
              <w:rPr>
                <w:rFonts w:ascii="Times New Roman" w:hAnsi="Times New Roman" w:eastAsia="宋体"/>
                <w:color w:val="auto"/>
                <w:szCs w:val="21"/>
                <w:highlight w:val="none"/>
              </w:rPr>
              <w:t>采购代理服务费</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olor w:val="auto"/>
                <w:highlight w:val="none"/>
              </w:rPr>
            </w:pPr>
            <w:r>
              <w:rPr>
                <w:rFonts w:ascii="Times New Roman" w:hAnsi="Times New Roman" w:eastAsia="宋体"/>
                <w:color w:val="auto"/>
                <w:highlight w:val="none"/>
              </w:rPr>
              <w:sym w:font="Wingdings 2" w:char="0052"/>
            </w:r>
            <w:r>
              <w:rPr>
                <w:rFonts w:ascii="Times New Roman" w:hAnsi="Times New Roman" w:eastAsia="宋体"/>
                <w:color w:val="auto"/>
                <w:highlight w:val="none"/>
              </w:rPr>
              <w:t>不要求</w:t>
            </w:r>
            <w:r>
              <w:rPr>
                <w:rFonts w:hint="eastAsia" w:ascii="Times New Roman" w:hAnsi="Times New Roman" w:eastAsia="宋体"/>
                <w:color w:val="auto"/>
                <w:highlight w:val="none"/>
              </w:rPr>
              <w:t>承担</w:t>
            </w:r>
          </w:p>
          <w:p>
            <w:pPr>
              <w:snapToGrid w:val="0"/>
              <w:rPr>
                <w:rFonts w:ascii="Times New Roman" w:hAnsi="Times New Roman" w:eastAsia="宋体"/>
                <w:color w:val="auto"/>
                <w:highlight w:val="none"/>
              </w:rPr>
            </w:pPr>
            <w:r>
              <w:rPr>
                <w:rFonts w:ascii="Times New Roman" w:hAnsi="Times New Roman" w:eastAsia="宋体"/>
                <w:color w:val="auto"/>
                <w:highlight w:val="none"/>
              </w:rPr>
              <w:sym w:font="Wingdings 2" w:char="00A3"/>
            </w:r>
            <w:r>
              <w:rPr>
                <w:rFonts w:ascii="Times New Roman" w:hAnsi="Times New Roman" w:eastAsia="宋体"/>
                <w:color w:val="auto"/>
                <w:highlight w:val="none"/>
              </w:rPr>
              <w:t>要求</w:t>
            </w:r>
            <w:r>
              <w:rPr>
                <w:rFonts w:hint="eastAsia" w:ascii="Times New Roman" w:hAnsi="Times New Roman" w:eastAsia="宋体"/>
                <w:color w:val="auto"/>
                <w:highlight w:val="none"/>
              </w:rPr>
              <w:t>承担</w:t>
            </w:r>
          </w:p>
          <w:p>
            <w:pPr>
              <w:snapToGrid w:val="0"/>
              <w:ind w:firstLine="210" w:firstLineChars="100"/>
              <w:rPr>
                <w:rFonts w:ascii="Times New Roman" w:hAnsi="Times New Roman" w:eastAsia="宋体"/>
                <w:color w:val="auto"/>
                <w:szCs w:val="21"/>
                <w:highlight w:val="none"/>
              </w:rPr>
            </w:pPr>
            <w:r>
              <w:rPr>
                <w:rFonts w:ascii="Times New Roman" w:hAnsi="Times New Roman" w:eastAsia="宋体"/>
                <w:color w:val="auto"/>
                <w:highlight w:val="none"/>
              </w:rPr>
              <w:t>费用标准或金额：</w:t>
            </w:r>
            <w:r>
              <w:rPr>
                <w:rFonts w:hint="eastAsia" w:ascii="Times New Roman" w:hAnsi="Times New Roman"/>
                <w:color w:val="auto"/>
                <w:highlight w:val="none"/>
                <w:lang w:eastAsia="zh-CN"/>
              </w:rPr>
              <w:t>无</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10.2</w:t>
            </w:r>
          </w:p>
        </w:tc>
        <w:tc>
          <w:tcPr>
            <w:tcW w:w="774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olor w:val="auto"/>
                <w:highlight w:val="none"/>
              </w:rPr>
            </w:pPr>
            <w:r>
              <w:rPr>
                <w:rFonts w:ascii="Times New Roman" w:hAnsi="Times New Roman" w:eastAsia="宋体"/>
                <w:color w:val="auto"/>
                <w:highlight w:val="none"/>
              </w:rPr>
              <w:t>需要补充的其他内容</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hint="eastAsia" w:ascii="宋体" w:hAnsi="宋体" w:eastAsia="宋体" w:cs="宋体"/>
                <w:color w:val="auto"/>
                <w:sz w:val="21"/>
                <w:szCs w:val="21"/>
                <w:highlight w:val="none"/>
                <w:lang w:eastAsia="zh-CN"/>
              </w:rPr>
            </w:pPr>
            <w:r>
              <w:rPr>
                <w:rFonts w:hint="eastAsia"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lang w:val="en-US" w:eastAsia="zh-CN"/>
              </w:rPr>
              <w:t>0</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2（1）</w:t>
            </w:r>
          </w:p>
        </w:tc>
        <w:tc>
          <w:tcPr>
            <w:tcW w:w="32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电子采购</w:t>
            </w:r>
          </w:p>
        </w:tc>
        <w:tc>
          <w:tcPr>
            <w:tcW w:w="4536"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不采用电子采购</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hint="eastAsia" w:ascii="宋体" w:hAnsi="宋体" w:eastAsia="宋体" w:cs="宋体"/>
                <w:color w:val="auto"/>
                <w:sz w:val="21"/>
                <w:szCs w:val="21"/>
                <w:highlight w:val="none"/>
              </w:rPr>
            </w:pPr>
            <w:r>
              <w:rPr>
                <w:rFonts w:hint="eastAsia"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lang w:val="en-US" w:eastAsia="zh-CN"/>
              </w:rPr>
              <w:t>0</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2（2）</w:t>
            </w:r>
          </w:p>
        </w:tc>
        <w:tc>
          <w:tcPr>
            <w:tcW w:w="32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知识产权</w:t>
            </w:r>
          </w:p>
        </w:tc>
        <w:tc>
          <w:tcPr>
            <w:tcW w:w="453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（1）构成本</w:t>
            </w:r>
            <w:r>
              <w:rPr>
                <w:rFonts w:hint="eastAsia" w:ascii="宋体" w:hAnsi="宋体" w:cs="宋体"/>
                <w:color w:val="auto"/>
                <w:sz w:val="21"/>
                <w:szCs w:val="21"/>
                <w:highlight w:val="none"/>
                <w:lang w:eastAsia="zh-CN"/>
              </w:rPr>
              <w:t>询比采购</w:t>
            </w:r>
            <w:r>
              <w:rPr>
                <w:rFonts w:hint="eastAsia" w:ascii="宋体" w:hAnsi="宋体" w:eastAsia="宋体" w:cs="宋体"/>
                <w:color w:val="auto"/>
                <w:sz w:val="21"/>
                <w:szCs w:val="21"/>
                <w:highlight w:val="none"/>
              </w:rPr>
              <w:t>文件各个组成部分的文件，未经采购人书面同意，供应商不得擅自复印和用于非本</w:t>
            </w:r>
            <w:r>
              <w:rPr>
                <w:rFonts w:hint="eastAsia" w:ascii="宋体" w:hAnsi="宋体" w:cs="宋体"/>
                <w:color w:val="auto"/>
                <w:sz w:val="21"/>
                <w:szCs w:val="21"/>
                <w:highlight w:val="none"/>
                <w:lang w:eastAsia="zh-CN"/>
              </w:rPr>
              <w:t>询比</w:t>
            </w:r>
            <w:r>
              <w:rPr>
                <w:rFonts w:hint="eastAsia" w:ascii="宋体" w:hAnsi="宋体" w:eastAsia="宋体" w:cs="宋体"/>
                <w:color w:val="auto"/>
                <w:sz w:val="21"/>
                <w:szCs w:val="21"/>
                <w:highlight w:val="none"/>
              </w:rPr>
              <w:t>采购项目所需的其他目的。如因此导致采购人损失的，供应商须承担全部赔偿责任。</w:t>
            </w:r>
          </w:p>
          <w:p>
            <w:pPr>
              <w:adjustRightInd w:val="0"/>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在中华人民共和国境内使用成交货物、资料、技术、服务或其任何一部分时，履行合同义务后，享有不受限制的无偿使用权，不会产生因第三方提出侵犯其专利权、商标权或其它知识产权而引起的法律或经济纠纷。如供应商不拥有相应的知识产权，则在响应报价中必须包括合法获取该知识产权的一切相关费用。如因此导致采购人损失的，供应商须承担全部赔偿责任。</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hint="eastAsia" w:ascii="宋体" w:hAnsi="宋体" w:eastAsia="宋体" w:cs="宋体"/>
                <w:color w:val="auto"/>
                <w:sz w:val="21"/>
                <w:szCs w:val="21"/>
                <w:highlight w:val="none"/>
              </w:rPr>
            </w:pPr>
            <w:r>
              <w:rPr>
                <w:rFonts w:hint="eastAsia"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lang w:val="en-US" w:eastAsia="zh-CN"/>
              </w:rPr>
              <w:t>0</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2（3）</w:t>
            </w:r>
          </w:p>
        </w:tc>
        <w:tc>
          <w:tcPr>
            <w:tcW w:w="32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投标专用章、业务专用章等效力规定</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snapToGrid w:val="0"/>
              <w:spacing w:line="288"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询比采购</w:t>
            </w:r>
            <w:r>
              <w:rPr>
                <w:rFonts w:hint="eastAsia" w:ascii="宋体" w:hAnsi="宋体" w:eastAsia="宋体" w:cs="宋体"/>
                <w:color w:val="auto"/>
                <w:sz w:val="21"/>
                <w:szCs w:val="21"/>
                <w:highlight w:val="none"/>
              </w:rPr>
              <w:t>文件中明确要求加盖公章的，供应商必须加盖供应商公章。在有授权文件(原件)表明投标专用章、业务专用章等法律效力等同于供应商公章的情况下，可以加盖投标专用章或业务专用章，否则将导致响应文件无效。</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hint="eastAsia" w:ascii="宋体" w:hAnsi="宋体" w:eastAsia="宋体" w:cs="宋体"/>
                <w:color w:val="auto"/>
                <w:sz w:val="21"/>
                <w:szCs w:val="21"/>
                <w:highlight w:val="none"/>
              </w:rPr>
            </w:pPr>
            <w:r>
              <w:rPr>
                <w:rFonts w:hint="eastAsia"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lang w:val="en-US" w:eastAsia="zh-CN"/>
              </w:rPr>
              <w:t>0</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2（4）</w:t>
            </w:r>
          </w:p>
        </w:tc>
        <w:tc>
          <w:tcPr>
            <w:tcW w:w="3211" w:type="dxa"/>
            <w:tcBorders>
              <w:top w:val="single" w:color="auto" w:sz="4" w:space="0"/>
              <w:left w:val="single" w:color="auto" w:sz="4" w:space="0"/>
              <w:bottom w:val="single" w:color="auto" w:sz="4" w:space="0"/>
              <w:right w:val="single" w:color="auto" w:sz="4" w:space="0"/>
            </w:tcBorders>
            <w:vAlign w:val="center"/>
          </w:tcPr>
          <w:p>
            <w:pPr>
              <w:widowControl/>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参与多包</w:t>
            </w:r>
            <w:r>
              <w:rPr>
                <w:rFonts w:hint="eastAsia" w:ascii="宋体" w:hAnsi="宋体" w:cs="宋体"/>
                <w:color w:val="auto"/>
                <w:sz w:val="21"/>
                <w:szCs w:val="21"/>
                <w:highlight w:val="none"/>
                <w:lang w:eastAsia="zh-CN"/>
              </w:rPr>
              <w:t>询比采购</w:t>
            </w:r>
            <w:r>
              <w:rPr>
                <w:rFonts w:hint="eastAsia" w:ascii="宋体" w:hAnsi="宋体" w:eastAsia="宋体" w:cs="宋体"/>
                <w:color w:val="auto"/>
                <w:sz w:val="21"/>
                <w:szCs w:val="21"/>
                <w:highlight w:val="none"/>
              </w:rPr>
              <w:t>的规定</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snapToGrid w:val="0"/>
              <w:spacing w:line="288"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不适用</w:t>
            </w:r>
          </w:p>
          <w:p>
            <w:pPr>
              <w:widowControl/>
              <w:snapToGrid w:val="0"/>
              <w:spacing w:line="288" w:lineRule="auto"/>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供应商可对本项目一个或多个包进行响应，也可成为多个包的成交供应商。</w:t>
            </w:r>
          </w:p>
          <w:p>
            <w:pPr>
              <w:widowControl/>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□供应商可对本项目一个或多个包进行响应，但只能成为一个包的成交供应商。如一个供应商在多个包评审中均排序第一，则以供应商在响应函中自行选择优先顺序确定成交标包。</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hint="eastAsia" w:ascii="宋体" w:hAnsi="宋体" w:eastAsia="宋体" w:cs="宋体"/>
                <w:color w:val="auto"/>
                <w:sz w:val="21"/>
                <w:szCs w:val="21"/>
                <w:highlight w:val="none"/>
              </w:rPr>
            </w:pPr>
            <w:r>
              <w:rPr>
                <w:rFonts w:hint="eastAsia"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lang w:val="en-US" w:eastAsia="zh-CN"/>
              </w:rPr>
              <w:t>0</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2（5）</w:t>
            </w:r>
          </w:p>
        </w:tc>
        <w:tc>
          <w:tcPr>
            <w:tcW w:w="32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相关提示</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询比采购</w:t>
            </w:r>
            <w:r>
              <w:rPr>
                <w:rFonts w:hint="eastAsia" w:ascii="宋体" w:hAnsi="宋体" w:eastAsia="宋体" w:cs="宋体"/>
                <w:color w:val="auto"/>
                <w:sz w:val="21"/>
                <w:szCs w:val="21"/>
                <w:highlight w:val="none"/>
              </w:rPr>
              <w:t>文件中所称时间均指北京时间。</w:t>
            </w:r>
          </w:p>
          <w:p>
            <w:pPr>
              <w:widowControl/>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（2）供应商应注意规定的开启响应文件的地点和提交首次响应文件截止时间，为了使采购工作有条不紊进行，避免响应文件迟交的情况发生，</w:t>
            </w:r>
            <w:r>
              <w:rPr>
                <w:rFonts w:hint="eastAsia" w:ascii="宋体" w:hAnsi="宋体" w:cs="宋体"/>
                <w:color w:val="auto"/>
                <w:sz w:val="21"/>
                <w:szCs w:val="21"/>
                <w:highlight w:val="none"/>
                <w:lang w:eastAsia="zh-CN"/>
              </w:rPr>
              <w:t>询比采购</w:t>
            </w:r>
            <w:r>
              <w:rPr>
                <w:rFonts w:hint="eastAsia" w:ascii="宋体" w:hAnsi="宋体" w:eastAsia="宋体" w:cs="宋体"/>
                <w:color w:val="auto"/>
                <w:sz w:val="21"/>
                <w:szCs w:val="21"/>
                <w:highlight w:val="none"/>
              </w:rPr>
              <w:t>文件要求供应商到达开启响应文件现场的，建议供应商提前</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分钟到达。</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hint="eastAsia" w:ascii="宋体" w:hAnsi="宋体" w:eastAsia="宋体" w:cs="宋体"/>
                <w:color w:val="auto"/>
                <w:sz w:val="21"/>
                <w:szCs w:val="21"/>
                <w:highlight w:val="none"/>
              </w:rPr>
            </w:pPr>
            <w:r>
              <w:rPr>
                <w:rFonts w:hint="eastAsia"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lang w:val="en-US" w:eastAsia="zh-CN"/>
              </w:rPr>
              <w:t>0</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2（6）</w:t>
            </w:r>
          </w:p>
        </w:tc>
        <w:tc>
          <w:tcPr>
            <w:tcW w:w="32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询比采购</w:t>
            </w:r>
            <w:r>
              <w:rPr>
                <w:rFonts w:hint="eastAsia" w:ascii="宋体" w:hAnsi="宋体" w:eastAsia="宋体" w:cs="宋体"/>
                <w:color w:val="auto"/>
                <w:sz w:val="21"/>
                <w:szCs w:val="21"/>
                <w:highlight w:val="none"/>
              </w:rPr>
              <w:t>文件的解释</w:t>
            </w:r>
          </w:p>
        </w:tc>
        <w:tc>
          <w:tcPr>
            <w:tcW w:w="4536"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构成本</w:t>
            </w:r>
            <w:r>
              <w:rPr>
                <w:rFonts w:hint="eastAsia" w:ascii="宋体" w:hAnsi="宋体" w:cs="宋体"/>
                <w:color w:val="auto"/>
                <w:sz w:val="21"/>
                <w:szCs w:val="21"/>
                <w:highlight w:val="none"/>
                <w:lang w:eastAsia="zh-CN"/>
              </w:rPr>
              <w:t>询比采购</w:t>
            </w:r>
            <w:r>
              <w:rPr>
                <w:rFonts w:hint="eastAsia" w:ascii="宋体" w:hAnsi="宋体" w:eastAsia="宋体" w:cs="宋体"/>
                <w:color w:val="auto"/>
                <w:sz w:val="21"/>
                <w:szCs w:val="21"/>
                <w:highlight w:val="none"/>
              </w:rPr>
              <w:t>文件的各个组成文件应互为解释，互为说明；如有不明确或不一致，除</w:t>
            </w:r>
            <w:r>
              <w:rPr>
                <w:rFonts w:hint="eastAsia" w:ascii="宋体" w:hAnsi="宋体" w:cs="宋体"/>
                <w:color w:val="auto"/>
                <w:sz w:val="21"/>
                <w:szCs w:val="21"/>
                <w:highlight w:val="none"/>
                <w:lang w:eastAsia="zh-CN"/>
              </w:rPr>
              <w:t>询比采购</w:t>
            </w:r>
            <w:r>
              <w:rPr>
                <w:rFonts w:hint="eastAsia" w:ascii="宋体" w:hAnsi="宋体" w:eastAsia="宋体" w:cs="宋体"/>
                <w:color w:val="auto"/>
                <w:sz w:val="21"/>
                <w:szCs w:val="21"/>
                <w:highlight w:val="none"/>
              </w:rPr>
              <w:t>文件中有特别规定外，仅适用于</w:t>
            </w:r>
            <w:r>
              <w:rPr>
                <w:rFonts w:hint="eastAsia" w:ascii="宋体" w:hAnsi="宋体" w:cs="宋体"/>
                <w:color w:val="auto"/>
                <w:sz w:val="21"/>
                <w:szCs w:val="21"/>
                <w:highlight w:val="none"/>
                <w:lang w:eastAsia="zh-CN"/>
              </w:rPr>
              <w:t>询比采购</w:t>
            </w:r>
            <w:r>
              <w:rPr>
                <w:rFonts w:hint="eastAsia" w:ascii="宋体" w:hAnsi="宋体" w:eastAsia="宋体" w:cs="宋体"/>
                <w:color w:val="auto"/>
                <w:sz w:val="21"/>
                <w:szCs w:val="21"/>
                <w:highlight w:val="none"/>
              </w:rPr>
              <w:t>阶段规定的，按</w:t>
            </w:r>
            <w:r>
              <w:rPr>
                <w:rFonts w:hint="eastAsia" w:ascii="宋体" w:hAnsi="宋体" w:cs="宋体"/>
                <w:color w:val="auto"/>
                <w:sz w:val="21"/>
                <w:szCs w:val="21"/>
                <w:highlight w:val="none"/>
                <w:lang w:eastAsia="zh-CN"/>
              </w:rPr>
              <w:t>询比采购</w:t>
            </w:r>
            <w:r>
              <w:rPr>
                <w:rFonts w:hint="eastAsia" w:ascii="宋体" w:hAnsi="宋体" w:eastAsia="宋体" w:cs="宋体"/>
                <w:color w:val="auto"/>
                <w:sz w:val="21"/>
                <w:szCs w:val="21"/>
                <w:highlight w:val="none"/>
              </w:rPr>
              <w:t>公告</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询比采购邀请书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供应商须知、评审办法、响应文件格式的先后顺序解释；同一组成文件中就同一事项的规定或约定不一致的，以编排顺序在后者为准；同一文件不同版本之间有不一致的，以形成时间在后者为准。按本款前述规定仍不能形成结论的，</w:t>
            </w:r>
            <w:r>
              <w:rPr>
                <w:rFonts w:hint="eastAsia" w:ascii="宋体" w:hAnsi="宋体" w:eastAsia="宋体" w:cs="宋体"/>
                <w:bCs/>
                <w:color w:val="auto"/>
                <w:sz w:val="21"/>
                <w:szCs w:val="21"/>
                <w:highlight w:val="none"/>
              </w:rPr>
              <w:t>由采购人和采购代理机构负责解释。</w:t>
            </w:r>
          </w:p>
        </w:tc>
      </w:tr>
      <w:tr>
        <w:tblPrEx>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8" w:lineRule="auto"/>
              <w:jc w:val="center"/>
              <w:rPr>
                <w:rFonts w:hint="eastAsia" w:ascii="宋体" w:hAnsi="宋体" w:eastAsia="宋体" w:cs="宋体"/>
                <w:color w:val="auto"/>
                <w:sz w:val="21"/>
                <w:szCs w:val="21"/>
                <w:highlight w:val="none"/>
              </w:rPr>
            </w:pPr>
            <w:r>
              <w:rPr>
                <w:rFonts w:hint="eastAsia"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lang w:val="en-US" w:eastAsia="zh-CN"/>
              </w:rPr>
              <w:t>0</w:t>
            </w:r>
            <w:r>
              <w:rPr>
                <w:rFonts w:hint="eastAsia"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2（7）</w:t>
            </w:r>
          </w:p>
        </w:tc>
        <w:tc>
          <w:tcPr>
            <w:tcW w:w="32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原则规定与定义</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（1）供应商须知前附表是对供应商须知正文对应条款的补充、细化，供应商阅读时应与正文一并阅读。</w:t>
            </w:r>
            <w:r>
              <w:rPr>
                <w:rFonts w:hint="eastAsia" w:ascii="宋体" w:hAnsi="宋体" w:eastAsia="宋体" w:cs="宋体"/>
                <w:i/>
                <w:color w:val="auto"/>
                <w:sz w:val="21"/>
                <w:szCs w:val="21"/>
                <w:highlight w:val="none"/>
              </w:rPr>
              <w:t>(供应商须知前附表内容不得与供应商须知正文内容相抵触，否则抵触内容无效。)</w:t>
            </w:r>
          </w:p>
          <w:p>
            <w:pPr>
              <w:adjustRightInd w:val="0"/>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sym w:font="Wingdings" w:char="F0FE"/>
            </w:r>
            <w:r>
              <w:rPr>
                <w:rFonts w:hint="eastAsia" w:ascii="宋体" w:hAnsi="宋体" w:eastAsia="宋体" w:cs="宋体"/>
                <w:color w:val="auto"/>
                <w:sz w:val="21"/>
                <w:szCs w:val="21"/>
                <w:highlight w:val="none"/>
              </w:rPr>
              <w:t>”符号表示本</w:t>
            </w:r>
            <w:r>
              <w:rPr>
                <w:rFonts w:hint="eastAsia" w:ascii="宋体" w:hAnsi="宋体" w:cs="宋体"/>
                <w:color w:val="auto"/>
                <w:sz w:val="21"/>
                <w:szCs w:val="21"/>
                <w:highlight w:val="none"/>
                <w:lang w:eastAsia="zh-CN"/>
              </w:rPr>
              <w:t>询比采购</w:t>
            </w:r>
            <w:r>
              <w:rPr>
                <w:rFonts w:hint="eastAsia" w:ascii="宋体" w:hAnsi="宋体" w:eastAsia="宋体" w:cs="宋体"/>
                <w:color w:val="auto"/>
                <w:sz w:val="21"/>
                <w:szCs w:val="21"/>
                <w:highlight w:val="none"/>
              </w:rPr>
              <w:t>文件选定的内容；“□”符号表示本</w:t>
            </w:r>
            <w:r>
              <w:rPr>
                <w:rFonts w:hint="eastAsia" w:ascii="宋体" w:hAnsi="宋体" w:cs="宋体"/>
                <w:color w:val="auto"/>
                <w:sz w:val="21"/>
                <w:szCs w:val="21"/>
                <w:highlight w:val="none"/>
                <w:lang w:eastAsia="zh-CN"/>
              </w:rPr>
              <w:t>询比采购</w:t>
            </w:r>
            <w:r>
              <w:rPr>
                <w:rFonts w:hint="eastAsia" w:ascii="宋体" w:hAnsi="宋体" w:eastAsia="宋体" w:cs="宋体"/>
                <w:color w:val="auto"/>
                <w:sz w:val="21"/>
                <w:szCs w:val="21"/>
                <w:highlight w:val="none"/>
              </w:rPr>
              <w:t>文件未选定的内容；空格中的“/”表示没有具体内容。供应商请按“</w:t>
            </w:r>
            <w:r>
              <w:rPr>
                <w:rFonts w:hint="eastAsia" w:ascii="宋体" w:hAnsi="宋体" w:eastAsia="宋体" w:cs="宋体"/>
                <w:color w:val="auto"/>
                <w:sz w:val="21"/>
                <w:szCs w:val="21"/>
                <w:highlight w:val="none"/>
              </w:rPr>
              <w:sym w:font="Wingdings" w:char="F0FE"/>
            </w:r>
            <w:r>
              <w:rPr>
                <w:rFonts w:hint="eastAsia" w:ascii="宋体" w:hAnsi="宋体" w:eastAsia="宋体" w:cs="宋体"/>
                <w:color w:val="auto"/>
                <w:sz w:val="21"/>
                <w:szCs w:val="21"/>
                <w:highlight w:val="none"/>
              </w:rPr>
              <w:t>符号”选定的内容和要求参加采购活动。</w:t>
            </w:r>
          </w:p>
          <w:p>
            <w:pPr>
              <w:adjustRightInd w:val="0"/>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（3）与合同履行有关条款中注明的“甲方”、“买方”，在采购阶段按“采购人”理解；注明的“乙方”、“卖方”，按“供应商”理解。</w:t>
            </w:r>
          </w:p>
        </w:tc>
      </w:tr>
    </w:tbl>
    <w:p>
      <w:pPr>
        <w:spacing w:line="400" w:lineRule="exact"/>
        <w:rPr>
          <w:color w:val="auto"/>
          <w:highlight w:val="none"/>
        </w:rPr>
      </w:pPr>
    </w:p>
    <w:p>
      <w:pPr>
        <w:pStyle w:val="3"/>
        <w:rPr>
          <w:rFonts w:ascii="Times New Roman" w:hAnsi="Times New Roman"/>
          <w:color w:val="auto"/>
          <w:highlight w:val="none"/>
        </w:rPr>
      </w:pPr>
      <w:bookmarkStart w:id="71" w:name="_Toc501460650"/>
      <w:bookmarkStart w:id="72" w:name="_Toc28544"/>
      <w:r>
        <w:rPr>
          <w:rFonts w:ascii="Times New Roman" w:hAnsi="Times New Roman"/>
          <w:color w:val="auto"/>
          <w:highlight w:val="none"/>
        </w:rPr>
        <w:br w:type="page"/>
      </w:r>
      <w:r>
        <w:rPr>
          <w:rFonts w:ascii="Times New Roman" w:hAnsi="Times New Roman"/>
          <w:color w:val="auto"/>
          <w:highlight w:val="none"/>
        </w:rPr>
        <w:t>1. 总则</w:t>
      </w:r>
      <w:bookmarkEnd w:id="71"/>
      <w:bookmarkEnd w:id="72"/>
    </w:p>
    <w:p>
      <w:pPr>
        <w:pStyle w:val="4"/>
        <w:spacing w:line="240" w:lineRule="auto"/>
        <w:ind w:firstLine="137"/>
        <w:rPr>
          <w:rFonts w:ascii="Times New Roman" w:hAnsi="Times New Roman"/>
          <w:color w:val="auto"/>
          <w:highlight w:val="none"/>
        </w:rPr>
      </w:pPr>
      <w:bookmarkStart w:id="73" w:name="_Toc11805"/>
      <w:bookmarkStart w:id="74" w:name="_Toc501460651"/>
      <w:r>
        <w:rPr>
          <w:rFonts w:ascii="Times New Roman" w:hAnsi="Times New Roman"/>
          <w:color w:val="auto"/>
          <w:highlight w:val="none"/>
        </w:rPr>
        <w:t>1.</w:t>
      </w:r>
      <w:r>
        <w:rPr>
          <w:rFonts w:hint="eastAsia" w:ascii="Times New Roman" w:hAnsi="Times New Roman"/>
          <w:color w:val="auto"/>
          <w:highlight w:val="none"/>
        </w:rPr>
        <w:t>1</w:t>
      </w:r>
      <w:r>
        <w:rPr>
          <w:rFonts w:ascii="Times New Roman" w:hAnsi="Times New Roman"/>
          <w:color w:val="auto"/>
          <w:highlight w:val="none"/>
        </w:rPr>
        <w:t xml:space="preserve"> </w:t>
      </w:r>
      <w:r>
        <w:rPr>
          <w:rFonts w:hint="eastAsia" w:ascii="Times New Roman" w:hAnsi="Times New Roman"/>
          <w:color w:val="auto"/>
          <w:highlight w:val="none"/>
        </w:rPr>
        <w:t>采购方式</w:t>
      </w:r>
      <w:bookmarkEnd w:id="73"/>
    </w:p>
    <w:p>
      <w:pPr>
        <w:adjustRightInd w:val="0"/>
        <w:snapToGrid w:val="0"/>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本项目采用中国招标投标协会发布的《非招标方式采购代理服务规范》（T/CTBA001-2019）规定的询比采购方式。</w:t>
      </w:r>
    </w:p>
    <w:p>
      <w:pPr>
        <w:adjustRightInd w:val="0"/>
        <w:snapToGrid w:val="0"/>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询比采购是指采购人组建评审小组与响应采购的供应商按照采购文件规定的规则和时间一次递交的响应文件进行评审，采购人根据评审小组的评审结果，选择确定成交供应商的采购方式。</w:t>
      </w:r>
    </w:p>
    <w:p>
      <w:pPr>
        <w:pStyle w:val="4"/>
        <w:spacing w:line="240" w:lineRule="auto"/>
        <w:ind w:firstLine="137"/>
        <w:rPr>
          <w:rFonts w:ascii="Times New Roman" w:hAnsi="Times New Roman"/>
          <w:color w:val="auto"/>
          <w:highlight w:val="none"/>
        </w:rPr>
      </w:pPr>
      <w:bookmarkStart w:id="75" w:name="_Toc23141"/>
      <w:r>
        <w:rPr>
          <w:rFonts w:ascii="Times New Roman" w:hAnsi="Times New Roman"/>
          <w:color w:val="auto"/>
          <w:highlight w:val="none"/>
        </w:rPr>
        <w:t xml:space="preserve">1.2 </w:t>
      </w:r>
      <w:r>
        <w:rPr>
          <w:rFonts w:hint="eastAsia" w:ascii="Times New Roman" w:hAnsi="Times New Roman"/>
          <w:color w:val="auto"/>
          <w:highlight w:val="none"/>
        </w:rPr>
        <w:t>采购项目</w:t>
      </w:r>
      <w:r>
        <w:rPr>
          <w:rFonts w:ascii="Times New Roman" w:hAnsi="Times New Roman"/>
          <w:color w:val="auto"/>
          <w:highlight w:val="none"/>
        </w:rPr>
        <w:t>概况</w:t>
      </w:r>
      <w:bookmarkEnd w:id="74"/>
      <w:r>
        <w:rPr>
          <w:rFonts w:hint="eastAsia" w:ascii="Times New Roman" w:hAnsi="Times New Roman"/>
          <w:color w:val="auto"/>
          <w:highlight w:val="none"/>
        </w:rPr>
        <w:t>和供应商</w:t>
      </w:r>
      <w:r>
        <w:rPr>
          <w:rFonts w:ascii="Times New Roman" w:hAnsi="Times New Roman"/>
          <w:color w:val="auto"/>
          <w:highlight w:val="none"/>
        </w:rPr>
        <w:t>资格要求</w:t>
      </w:r>
      <w:bookmarkEnd w:id="75"/>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采购项目</w:t>
      </w:r>
      <w:r>
        <w:rPr>
          <w:rFonts w:ascii="Times New Roman" w:hAnsi="Times New Roman"/>
          <w:color w:val="auto"/>
          <w:highlight w:val="none"/>
        </w:rPr>
        <w:t>概况</w:t>
      </w:r>
      <w:r>
        <w:rPr>
          <w:rFonts w:hint="eastAsia" w:ascii="Times New Roman" w:hAnsi="Times New Roman"/>
          <w:color w:val="auto"/>
          <w:highlight w:val="none"/>
        </w:rPr>
        <w:t>和供应商</w:t>
      </w:r>
      <w:r>
        <w:rPr>
          <w:rFonts w:ascii="Times New Roman" w:hAnsi="Times New Roman"/>
          <w:color w:val="auto"/>
          <w:highlight w:val="none"/>
        </w:rPr>
        <w:t>资格要求</w:t>
      </w:r>
      <w:r>
        <w:rPr>
          <w:rFonts w:hint="eastAsia" w:ascii="Times New Roman" w:hAnsi="Times New Roman"/>
          <w:color w:val="auto"/>
          <w:highlight w:val="none"/>
        </w:rPr>
        <w:t>见第一章“询比采购公告/询比采购邀请书”。</w:t>
      </w:r>
    </w:p>
    <w:p>
      <w:pPr>
        <w:pStyle w:val="4"/>
        <w:spacing w:line="240" w:lineRule="auto"/>
        <w:ind w:firstLine="137"/>
        <w:rPr>
          <w:rFonts w:ascii="Times New Roman" w:hAnsi="Times New Roman"/>
          <w:color w:val="auto"/>
          <w:highlight w:val="none"/>
        </w:rPr>
      </w:pPr>
      <w:bookmarkStart w:id="76" w:name="_Toc22817"/>
      <w:r>
        <w:rPr>
          <w:rFonts w:ascii="Times New Roman" w:hAnsi="Times New Roman"/>
          <w:color w:val="auto"/>
          <w:highlight w:val="none"/>
        </w:rPr>
        <w:t>1.</w:t>
      </w:r>
      <w:r>
        <w:rPr>
          <w:rFonts w:hint="eastAsia" w:ascii="Times New Roman" w:hAnsi="Times New Roman"/>
          <w:color w:val="auto"/>
          <w:highlight w:val="none"/>
        </w:rPr>
        <w:t>3</w:t>
      </w:r>
      <w:r>
        <w:rPr>
          <w:rFonts w:ascii="Times New Roman" w:hAnsi="Times New Roman"/>
          <w:color w:val="auto"/>
          <w:highlight w:val="none"/>
        </w:rPr>
        <w:t xml:space="preserve"> </w:t>
      </w:r>
      <w:r>
        <w:rPr>
          <w:rFonts w:hint="eastAsia" w:ascii="Times New Roman" w:hAnsi="Times New Roman"/>
          <w:color w:val="auto"/>
          <w:highlight w:val="none"/>
        </w:rPr>
        <w:t>费用承担</w:t>
      </w:r>
      <w:bookmarkEnd w:id="76"/>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准备和</w:t>
      </w:r>
      <w:r>
        <w:rPr>
          <w:rFonts w:hint="eastAsia" w:ascii="Times New Roman" w:hAnsi="Times New Roman"/>
          <w:color w:val="auto"/>
          <w:highlight w:val="none"/>
        </w:rPr>
        <w:t>参加询比采购活动所发</w:t>
      </w:r>
      <w:r>
        <w:rPr>
          <w:rFonts w:ascii="Times New Roman" w:hAnsi="Times New Roman"/>
          <w:color w:val="auto"/>
          <w:highlight w:val="none"/>
        </w:rPr>
        <w:t>生的</w:t>
      </w:r>
      <w:r>
        <w:rPr>
          <w:rFonts w:hint="eastAsia" w:ascii="Times New Roman" w:hAnsi="Times New Roman"/>
          <w:color w:val="auto"/>
          <w:highlight w:val="none"/>
        </w:rPr>
        <w:t>各种</w:t>
      </w:r>
      <w:r>
        <w:rPr>
          <w:rFonts w:ascii="Times New Roman" w:hAnsi="Times New Roman"/>
          <w:color w:val="auto"/>
          <w:highlight w:val="none"/>
        </w:rPr>
        <w:t>费用</w:t>
      </w:r>
      <w:r>
        <w:rPr>
          <w:rFonts w:hint="eastAsia" w:ascii="Times New Roman" w:hAnsi="Times New Roman"/>
          <w:color w:val="auto"/>
          <w:highlight w:val="none"/>
        </w:rPr>
        <w:t>由供应商自行承担</w:t>
      </w:r>
      <w:r>
        <w:rPr>
          <w:rFonts w:ascii="Times New Roman" w:hAnsi="Times New Roman"/>
          <w:color w:val="auto"/>
          <w:highlight w:val="none"/>
        </w:rPr>
        <w:t>。</w:t>
      </w:r>
    </w:p>
    <w:p>
      <w:pPr>
        <w:pStyle w:val="4"/>
        <w:spacing w:line="240" w:lineRule="auto"/>
        <w:ind w:firstLine="137"/>
        <w:rPr>
          <w:rFonts w:ascii="Times New Roman" w:hAnsi="Times New Roman"/>
          <w:color w:val="auto"/>
          <w:highlight w:val="none"/>
        </w:rPr>
      </w:pPr>
      <w:bookmarkStart w:id="77" w:name="_Toc24158"/>
      <w:bookmarkStart w:id="78" w:name="_Toc501460656"/>
      <w:r>
        <w:rPr>
          <w:rFonts w:ascii="Times New Roman" w:hAnsi="Times New Roman"/>
          <w:color w:val="auto"/>
          <w:highlight w:val="none"/>
        </w:rPr>
        <w:t>1.</w:t>
      </w:r>
      <w:r>
        <w:rPr>
          <w:rFonts w:hint="eastAsia" w:ascii="Times New Roman" w:hAnsi="Times New Roman"/>
          <w:color w:val="auto"/>
          <w:highlight w:val="none"/>
        </w:rPr>
        <w:t>4</w:t>
      </w:r>
      <w:r>
        <w:rPr>
          <w:rFonts w:ascii="Times New Roman" w:hAnsi="Times New Roman"/>
          <w:color w:val="auto"/>
          <w:highlight w:val="none"/>
        </w:rPr>
        <w:t xml:space="preserve"> </w:t>
      </w:r>
      <w:r>
        <w:rPr>
          <w:rFonts w:hint="eastAsia" w:ascii="Times New Roman" w:hAnsi="Times New Roman"/>
          <w:color w:val="auto"/>
          <w:highlight w:val="none"/>
        </w:rPr>
        <w:t>保密</w:t>
      </w:r>
      <w:bookmarkEnd w:id="77"/>
      <w:bookmarkEnd w:id="78"/>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参与询比采购活动的各方应对采购文件和响应文件中的</w:t>
      </w:r>
      <w:bookmarkStart w:id="79" w:name="_Toc352691477"/>
      <w:bookmarkStart w:id="80" w:name="_Toc5326"/>
      <w:bookmarkStart w:id="81" w:name="_Toc384308214"/>
      <w:bookmarkStart w:id="82" w:name="_Toc369531519"/>
      <w:bookmarkStart w:id="83" w:name="_Toc361508589"/>
      <w:r>
        <w:rPr>
          <w:rFonts w:ascii="Times New Roman" w:hAnsi="Times New Roman"/>
          <w:color w:val="auto"/>
          <w:highlight w:val="none"/>
        </w:rPr>
        <w:t>商业和技术等秘密保密</w:t>
      </w:r>
      <w:bookmarkEnd w:id="79"/>
      <w:bookmarkEnd w:id="80"/>
      <w:bookmarkEnd w:id="81"/>
      <w:bookmarkEnd w:id="82"/>
      <w:bookmarkEnd w:id="83"/>
      <w:r>
        <w:rPr>
          <w:rFonts w:ascii="Times New Roman" w:hAnsi="Times New Roman"/>
          <w:color w:val="auto"/>
          <w:highlight w:val="none"/>
        </w:rPr>
        <w:t>，否则应承担相应的法律责任。</w:t>
      </w:r>
    </w:p>
    <w:p>
      <w:pPr>
        <w:pStyle w:val="4"/>
        <w:spacing w:line="240" w:lineRule="auto"/>
        <w:ind w:firstLine="137"/>
        <w:rPr>
          <w:rFonts w:ascii="Times New Roman" w:hAnsi="Times New Roman"/>
          <w:color w:val="auto"/>
          <w:highlight w:val="none"/>
        </w:rPr>
      </w:pPr>
      <w:bookmarkStart w:id="84" w:name="_Toc501460657"/>
      <w:bookmarkStart w:id="85" w:name="_Toc26057"/>
      <w:r>
        <w:rPr>
          <w:rFonts w:ascii="Times New Roman" w:hAnsi="Times New Roman"/>
          <w:color w:val="auto"/>
          <w:highlight w:val="none"/>
        </w:rPr>
        <w:t>1.</w:t>
      </w:r>
      <w:r>
        <w:rPr>
          <w:rFonts w:hint="eastAsia" w:ascii="Times New Roman" w:hAnsi="Times New Roman"/>
          <w:color w:val="auto"/>
          <w:highlight w:val="none"/>
        </w:rPr>
        <w:t>5</w:t>
      </w:r>
      <w:r>
        <w:rPr>
          <w:rFonts w:ascii="Times New Roman" w:hAnsi="Times New Roman"/>
          <w:color w:val="auto"/>
          <w:highlight w:val="none"/>
        </w:rPr>
        <w:t xml:space="preserve"> 语言文字</w:t>
      </w:r>
      <w:bookmarkEnd w:id="84"/>
      <w:bookmarkEnd w:id="85"/>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采购文件</w:t>
      </w:r>
      <w:r>
        <w:rPr>
          <w:rFonts w:ascii="Times New Roman" w:hAnsi="Times New Roman"/>
          <w:color w:val="auto"/>
          <w:highlight w:val="none"/>
        </w:rPr>
        <w:t>和</w:t>
      </w:r>
      <w:r>
        <w:rPr>
          <w:rFonts w:hint="eastAsia" w:ascii="Times New Roman" w:hAnsi="Times New Roman"/>
          <w:color w:val="auto"/>
          <w:highlight w:val="none"/>
        </w:rPr>
        <w:t>响应文件</w:t>
      </w:r>
      <w:r>
        <w:rPr>
          <w:rFonts w:ascii="Times New Roman" w:hAnsi="Times New Roman"/>
          <w:color w:val="auto"/>
          <w:highlight w:val="none"/>
        </w:rPr>
        <w:t>使用的语言文字为中文。专用术语使用外文的，应附有中文注释。</w:t>
      </w:r>
    </w:p>
    <w:p>
      <w:pPr>
        <w:pStyle w:val="4"/>
        <w:spacing w:line="240" w:lineRule="auto"/>
        <w:ind w:firstLine="137"/>
        <w:rPr>
          <w:rFonts w:ascii="Times New Roman" w:hAnsi="Times New Roman"/>
          <w:color w:val="auto"/>
          <w:highlight w:val="none"/>
        </w:rPr>
      </w:pPr>
      <w:bookmarkStart w:id="86" w:name="_Toc30679"/>
      <w:bookmarkStart w:id="87" w:name="_Toc501460658"/>
      <w:r>
        <w:rPr>
          <w:rFonts w:ascii="Times New Roman" w:hAnsi="Times New Roman"/>
          <w:color w:val="auto"/>
          <w:highlight w:val="none"/>
        </w:rPr>
        <w:t>1.</w:t>
      </w:r>
      <w:r>
        <w:rPr>
          <w:rFonts w:hint="eastAsia" w:ascii="Times New Roman" w:hAnsi="Times New Roman"/>
          <w:color w:val="auto"/>
          <w:highlight w:val="none"/>
        </w:rPr>
        <w:t>6</w:t>
      </w:r>
      <w:r>
        <w:rPr>
          <w:rFonts w:ascii="Times New Roman" w:hAnsi="Times New Roman"/>
          <w:color w:val="auto"/>
          <w:highlight w:val="none"/>
        </w:rPr>
        <w:t xml:space="preserve"> 计量单位</w:t>
      </w:r>
      <w:bookmarkEnd w:id="86"/>
      <w:bookmarkEnd w:id="87"/>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所有计量均采用中华人民共和国法定计量单位。</w:t>
      </w:r>
    </w:p>
    <w:p>
      <w:pPr>
        <w:pStyle w:val="4"/>
        <w:spacing w:line="240" w:lineRule="auto"/>
        <w:ind w:firstLine="137"/>
        <w:rPr>
          <w:rFonts w:ascii="Times New Roman" w:hAnsi="Times New Roman"/>
          <w:color w:val="auto"/>
          <w:highlight w:val="none"/>
        </w:rPr>
      </w:pPr>
      <w:bookmarkStart w:id="88" w:name="_Toc247527563"/>
      <w:bookmarkStart w:id="89" w:name="_Toc391393967"/>
      <w:bookmarkStart w:id="90" w:name="_Toc361508594"/>
      <w:bookmarkStart w:id="91" w:name="_Toc16297"/>
      <w:bookmarkStart w:id="92" w:name="_Toc144974507"/>
      <w:bookmarkStart w:id="93" w:name="_Toc152045539"/>
      <w:bookmarkStart w:id="94" w:name="_Toc152042315"/>
      <w:bookmarkStart w:id="95" w:name="_Toc482188480"/>
      <w:bookmarkStart w:id="96" w:name="_Toc384308219"/>
      <w:bookmarkStart w:id="97" w:name="_Toc247513962"/>
      <w:bookmarkStart w:id="98" w:name="_Toc370676289"/>
      <w:bookmarkStart w:id="99" w:name="_Toc300834959"/>
      <w:bookmarkStart w:id="100" w:name="_Toc501460401"/>
      <w:bookmarkStart w:id="101" w:name="_Toc501460659"/>
      <w:bookmarkStart w:id="102" w:name="_Toc485303284"/>
      <w:r>
        <w:rPr>
          <w:rFonts w:ascii="Times New Roman" w:hAnsi="Times New Roman"/>
          <w:color w:val="auto"/>
          <w:highlight w:val="none"/>
        </w:rPr>
        <w:t>1.</w:t>
      </w:r>
      <w:r>
        <w:rPr>
          <w:rFonts w:hint="eastAsia" w:ascii="Times New Roman" w:hAnsi="Times New Roman"/>
          <w:color w:val="auto"/>
          <w:highlight w:val="none"/>
        </w:rPr>
        <w:t>7</w:t>
      </w:r>
      <w:r>
        <w:rPr>
          <w:rFonts w:ascii="Times New Roman" w:hAnsi="Times New Roman"/>
          <w:color w:val="auto"/>
          <w:highlight w:val="none"/>
        </w:rPr>
        <w:t xml:space="preserve"> </w:t>
      </w:r>
      <w:r>
        <w:rPr>
          <w:rFonts w:hint="eastAsia" w:ascii="Times New Roman" w:hAnsi="Times New Roman"/>
          <w:color w:val="auto"/>
          <w:highlight w:val="none"/>
        </w:rPr>
        <w:t>踏勘现场</w:t>
      </w:r>
      <w:bookmarkEnd w:id="88"/>
      <w:bookmarkEnd w:id="89"/>
      <w:bookmarkEnd w:id="90"/>
      <w:bookmarkEnd w:id="91"/>
      <w:bookmarkEnd w:id="92"/>
      <w:bookmarkEnd w:id="93"/>
      <w:bookmarkEnd w:id="94"/>
      <w:bookmarkEnd w:id="95"/>
      <w:bookmarkEnd w:id="96"/>
      <w:bookmarkEnd w:id="97"/>
      <w:bookmarkEnd w:id="98"/>
      <w:bookmarkEnd w:id="99"/>
      <w:bookmarkEnd w:id="100"/>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7</w:t>
      </w:r>
      <w:r>
        <w:rPr>
          <w:rFonts w:ascii="Times New Roman" w:hAnsi="Times New Roman"/>
          <w:color w:val="auto"/>
          <w:highlight w:val="none"/>
        </w:rPr>
        <w:t xml:space="preserve">.1 </w:t>
      </w:r>
      <w:r>
        <w:rPr>
          <w:rFonts w:hint="eastAsia" w:ascii="Times New Roman" w:hAnsi="Times New Roman"/>
          <w:color w:val="auto"/>
          <w:highlight w:val="none"/>
        </w:rPr>
        <w:t>供应商</w:t>
      </w:r>
      <w:r>
        <w:rPr>
          <w:rFonts w:ascii="Times New Roman" w:hAnsi="Times New Roman"/>
          <w:color w:val="auto"/>
          <w:highlight w:val="none"/>
        </w:rPr>
        <w:t>须知前附表规定组织踏勘现场的，</w:t>
      </w:r>
      <w:r>
        <w:rPr>
          <w:rFonts w:hint="eastAsia" w:ascii="Times New Roman" w:hAnsi="Times New Roman"/>
          <w:color w:val="auto"/>
          <w:highlight w:val="none"/>
        </w:rPr>
        <w:t>采购</w:t>
      </w:r>
      <w:r>
        <w:rPr>
          <w:rFonts w:ascii="Times New Roman" w:hAnsi="Times New Roman"/>
          <w:color w:val="auto"/>
          <w:highlight w:val="none"/>
        </w:rPr>
        <w:t>人按</w:t>
      </w:r>
      <w:r>
        <w:rPr>
          <w:rFonts w:hint="eastAsia" w:ascii="Times New Roman" w:hAnsi="Times New Roman"/>
          <w:color w:val="auto"/>
          <w:highlight w:val="none"/>
        </w:rPr>
        <w:t>供应商须知前附表</w:t>
      </w:r>
      <w:r>
        <w:rPr>
          <w:rFonts w:ascii="Times New Roman" w:hAnsi="Times New Roman"/>
          <w:color w:val="auto"/>
          <w:highlight w:val="none"/>
        </w:rPr>
        <w:t>规定的时间、地点组织</w:t>
      </w:r>
      <w:r>
        <w:rPr>
          <w:rFonts w:hint="eastAsia" w:ascii="Times New Roman" w:hAnsi="Times New Roman"/>
          <w:color w:val="auto"/>
          <w:highlight w:val="none"/>
        </w:rPr>
        <w:t>供应商</w:t>
      </w:r>
      <w:r>
        <w:rPr>
          <w:rFonts w:ascii="Times New Roman" w:hAnsi="Times New Roman"/>
          <w:color w:val="auto"/>
          <w:highlight w:val="none"/>
        </w:rPr>
        <w:t>踏勘项目现场。部分</w:t>
      </w:r>
      <w:r>
        <w:rPr>
          <w:rFonts w:hint="eastAsia" w:ascii="Times New Roman" w:hAnsi="Times New Roman"/>
          <w:color w:val="auto"/>
          <w:highlight w:val="none"/>
        </w:rPr>
        <w:t>供应商</w:t>
      </w:r>
      <w:r>
        <w:rPr>
          <w:rFonts w:ascii="Times New Roman" w:hAnsi="Times New Roman"/>
          <w:color w:val="auto"/>
          <w:highlight w:val="none"/>
        </w:rPr>
        <w:t>未按时参加踏勘现场的，不影响踏勘现场的正常进行。</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7</w:t>
      </w:r>
      <w:r>
        <w:rPr>
          <w:rFonts w:ascii="Times New Roman" w:hAnsi="Times New Roman"/>
          <w:color w:val="auto"/>
          <w:highlight w:val="none"/>
        </w:rPr>
        <w:t>.2</w:t>
      </w:r>
      <w:r>
        <w:rPr>
          <w:rFonts w:hint="eastAsia" w:ascii="Times New Roman" w:hAnsi="Times New Roman"/>
          <w:color w:val="auto"/>
          <w:highlight w:val="none"/>
        </w:rPr>
        <w:t xml:space="preserve"> 供应商可自愿参加踏勘现场活动。</w:t>
      </w:r>
      <w:r>
        <w:rPr>
          <w:rFonts w:ascii="Times New Roman" w:hAnsi="Times New Roman"/>
          <w:color w:val="auto"/>
          <w:highlight w:val="none"/>
        </w:rPr>
        <w:t>除</w:t>
      </w:r>
      <w:r>
        <w:rPr>
          <w:rFonts w:hint="eastAsia" w:ascii="Times New Roman" w:hAnsi="Times New Roman"/>
          <w:color w:val="auto"/>
          <w:highlight w:val="none"/>
        </w:rPr>
        <w:t>采购</w:t>
      </w:r>
      <w:r>
        <w:rPr>
          <w:rFonts w:ascii="Times New Roman" w:hAnsi="Times New Roman"/>
          <w:color w:val="auto"/>
          <w:highlight w:val="none"/>
        </w:rPr>
        <w:t>人的原因外，</w:t>
      </w:r>
      <w:r>
        <w:rPr>
          <w:rFonts w:hint="eastAsia" w:ascii="Times New Roman" w:hAnsi="Times New Roman"/>
          <w:color w:val="auto"/>
          <w:highlight w:val="none"/>
        </w:rPr>
        <w:t>采购人对供应商参加</w:t>
      </w:r>
      <w:r>
        <w:rPr>
          <w:rFonts w:ascii="Times New Roman" w:hAnsi="Times New Roman"/>
          <w:color w:val="auto"/>
          <w:highlight w:val="none"/>
        </w:rPr>
        <w:t>踏勘现场中所发生的人员伤亡和财产损失</w:t>
      </w:r>
      <w:r>
        <w:rPr>
          <w:rFonts w:hint="eastAsia" w:ascii="Times New Roman" w:hAnsi="Times New Roman"/>
          <w:color w:val="auto"/>
          <w:highlight w:val="none"/>
        </w:rPr>
        <w:t>不承担责任</w:t>
      </w:r>
      <w:r>
        <w:rPr>
          <w:rFonts w:ascii="Times New Roman" w:hAnsi="Times New Roman"/>
          <w:color w:val="auto"/>
          <w:highlight w:val="none"/>
        </w:rPr>
        <w:t>。</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7</w:t>
      </w: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 xml:space="preserve"> </w:t>
      </w:r>
      <w:r>
        <w:rPr>
          <w:rFonts w:hint="eastAsia" w:ascii="Times New Roman" w:hAnsi="Times New Roman"/>
          <w:color w:val="auto"/>
          <w:highlight w:val="none"/>
        </w:rPr>
        <w:t>采购</w:t>
      </w:r>
      <w:r>
        <w:rPr>
          <w:rFonts w:ascii="Times New Roman" w:hAnsi="Times New Roman"/>
          <w:color w:val="auto"/>
          <w:highlight w:val="none"/>
        </w:rPr>
        <w:t>人在踏勘现场中介绍的工程场地和相关的周边环境情况，</w:t>
      </w:r>
      <w:r>
        <w:rPr>
          <w:rFonts w:hint="eastAsia" w:ascii="Times New Roman" w:hAnsi="Times New Roman"/>
          <w:color w:val="auto"/>
          <w:highlight w:val="none"/>
        </w:rPr>
        <w:t>仅作为供应商</w:t>
      </w:r>
      <w:r>
        <w:rPr>
          <w:rFonts w:ascii="Times New Roman" w:hAnsi="Times New Roman"/>
          <w:color w:val="auto"/>
          <w:highlight w:val="none"/>
        </w:rPr>
        <w:t>编制</w:t>
      </w:r>
      <w:r>
        <w:rPr>
          <w:rFonts w:hint="eastAsia" w:ascii="Times New Roman" w:hAnsi="Times New Roman"/>
          <w:color w:val="auto"/>
          <w:highlight w:val="none"/>
        </w:rPr>
        <w:t>响应</w:t>
      </w:r>
      <w:r>
        <w:rPr>
          <w:rFonts w:ascii="Times New Roman" w:hAnsi="Times New Roman"/>
          <w:color w:val="auto"/>
          <w:highlight w:val="none"/>
        </w:rPr>
        <w:t>文件</w:t>
      </w:r>
      <w:r>
        <w:rPr>
          <w:rFonts w:hint="eastAsia" w:ascii="Times New Roman" w:hAnsi="Times New Roman"/>
          <w:color w:val="auto"/>
          <w:highlight w:val="none"/>
        </w:rPr>
        <w:t>的</w:t>
      </w:r>
      <w:r>
        <w:rPr>
          <w:rFonts w:ascii="Times New Roman" w:hAnsi="Times New Roman"/>
          <w:color w:val="auto"/>
          <w:highlight w:val="none"/>
        </w:rPr>
        <w:t>参考，</w:t>
      </w:r>
      <w:r>
        <w:rPr>
          <w:rFonts w:hint="eastAsia" w:ascii="Times New Roman" w:hAnsi="Times New Roman"/>
          <w:color w:val="auto"/>
          <w:highlight w:val="none"/>
        </w:rPr>
        <w:t>采购</w:t>
      </w:r>
      <w:r>
        <w:rPr>
          <w:rFonts w:ascii="Times New Roman" w:hAnsi="Times New Roman"/>
          <w:color w:val="auto"/>
          <w:highlight w:val="none"/>
        </w:rPr>
        <w:t>人不对</w:t>
      </w:r>
      <w:r>
        <w:rPr>
          <w:rFonts w:hint="eastAsia" w:ascii="Times New Roman" w:hAnsi="Times New Roman"/>
          <w:color w:val="auto"/>
          <w:highlight w:val="none"/>
        </w:rPr>
        <w:t>供应商</w:t>
      </w:r>
      <w:r>
        <w:rPr>
          <w:rFonts w:ascii="Times New Roman" w:hAnsi="Times New Roman"/>
          <w:color w:val="auto"/>
          <w:highlight w:val="none"/>
        </w:rPr>
        <w:t>据此作出的判断和决策负责。</w:t>
      </w:r>
    </w:p>
    <w:p>
      <w:pPr>
        <w:pStyle w:val="4"/>
        <w:spacing w:line="240" w:lineRule="auto"/>
        <w:ind w:firstLine="137"/>
        <w:rPr>
          <w:rFonts w:ascii="Times New Roman" w:hAnsi="Times New Roman"/>
          <w:color w:val="auto"/>
          <w:highlight w:val="none"/>
        </w:rPr>
      </w:pPr>
      <w:bookmarkStart w:id="103" w:name="_Toc18797"/>
      <w:r>
        <w:rPr>
          <w:rFonts w:ascii="Times New Roman" w:hAnsi="Times New Roman"/>
          <w:color w:val="auto"/>
          <w:highlight w:val="none"/>
        </w:rPr>
        <w:t>1.</w:t>
      </w:r>
      <w:r>
        <w:rPr>
          <w:rFonts w:hint="eastAsia" w:ascii="Times New Roman" w:hAnsi="Times New Roman"/>
          <w:color w:val="auto"/>
          <w:highlight w:val="none"/>
        </w:rPr>
        <w:t>8</w:t>
      </w:r>
      <w:r>
        <w:rPr>
          <w:rFonts w:ascii="Times New Roman" w:hAnsi="Times New Roman"/>
          <w:color w:val="auto"/>
          <w:highlight w:val="none"/>
        </w:rPr>
        <w:t xml:space="preserve"> </w:t>
      </w:r>
      <w:r>
        <w:rPr>
          <w:rFonts w:hint="eastAsia" w:ascii="Times New Roman" w:hAnsi="Times New Roman"/>
          <w:color w:val="auto"/>
          <w:highlight w:val="none"/>
        </w:rPr>
        <w:t>询比采购</w:t>
      </w:r>
      <w:r>
        <w:rPr>
          <w:rFonts w:ascii="Times New Roman" w:hAnsi="Times New Roman"/>
          <w:color w:val="auto"/>
          <w:highlight w:val="none"/>
        </w:rPr>
        <w:t>预备会</w:t>
      </w:r>
      <w:bookmarkEnd w:id="101"/>
      <w:bookmarkEnd w:id="102"/>
      <w:bookmarkEnd w:id="103"/>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供应商须知前附表</w:t>
      </w:r>
      <w:r>
        <w:rPr>
          <w:rFonts w:ascii="Times New Roman" w:hAnsi="Times New Roman"/>
          <w:color w:val="auto"/>
          <w:highlight w:val="none"/>
        </w:rPr>
        <w:t>规定召开</w:t>
      </w:r>
      <w:r>
        <w:rPr>
          <w:rFonts w:hint="eastAsia" w:ascii="Times New Roman" w:hAnsi="Times New Roman"/>
          <w:color w:val="auto"/>
          <w:highlight w:val="none"/>
        </w:rPr>
        <w:t>询比采购</w:t>
      </w:r>
      <w:r>
        <w:rPr>
          <w:rFonts w:ascii="Times New Roman" w:hAnsi="Times New Roman"/>
          <w:color w:val="auto"/>
          <w:highlight w:val="none"/>
        </w:rPr>
        <w:t>预备会的，</w:t>
      </w:r>
      <w:r>
        <w:rPr>
          <w:rFonts w:hint="eastAsia" w:ascii="Times New Roman" w:hAnsi="Times New Roman"/>
          <w:color w:val="auto"/>
          <w:highlight w:val="none"/>
        </w:rPr>
        <w:t>采购人</w:t>
      </w:r>
      <w:r>
        <w:rPr>
          <w:rFonts w:ascii="Times New Roman" w:hAnsi="Times New Roman"/>
          <w:color w:val="auto"/>
          <w:highlight w:val="none"/>
        </w:rPr>
        <w:t>按</w:t>
      </w:r>
      <w:r>
        <w:rPr>
          <w:rFonts w:hint="eastAsia" w:ascii="Times New Roman" w:hAnsi="Times New Roman"/>
          <w:color w:val="auto"/>
          <w:highlight w:val="none"/>
        </w:rPr>
        <w:t>供应商须知前附表</w:t>
      </w:r>
      <w:r>
        <w:rPr>
          <w:rFonts w:ascii="Times New Roman" w:hAnsi="Times New Roman"/>
          <w:color w:val="auto"/>
          <w:highlight w:val="none"/>
        </w:rPr>
        <w:t>规定的时间和地点召开</w:t>
      </w:r>
      <w:r>
        <w:rPr>
          <w:rFonts w:hint="eastAsia" w:ascii="Times New Roman" w:hAnsi="Times New Roman"/>
          <w:color w:val="auto"/>
          <w:highlight w:val="none"/>
        </w:rPr>
        <w:t>询比采购</w:t>
      </w:r>
      <w:r>
        <w:rPr>
          <w:rFonts w:ascii="Times New Roman" w:hAnsi="Times New Roman"/>
          <w:color w:val="auto"/>
          <w:highlight w:val="none"/>
        </w:rPr>
        <w:t>预备会。</w:t>
      </w:r>
    </w:p>
    <w:p>
      <w:pPr>
        <w:pStyle w:val="4"/>
        <w:spacing w:line="240" w:lineRule="auto"/>
        <w:ind w:firstLine="137"/>
        <w:rPr>
          <w:rFonts w:ascii="Times New Roman" w:hAnsi="Times New Roman"/>
          <w:color w:val="auto"/>
          <w:highlight w:val="none"/>
        </w:rPr>
      </w:pPr>
      <w:bookmarkStart w:id="104" w:name="_Toc14056"/>
      <w:r>
        <w:rPr>
          <w:rFonts w:ascii="Times New Roman" w:hAnsi="Times New Roman"/>
          <w:color w:val="auto"/>
          <w:highlight w:val="none"/>
        </w:rPr>
        <w:t>1.</w:t>
      </w:r>
      <w:r>
        <w:rPr>
          <w:rFonts w:hint="eastAsia" w:ascii="Times New Roman" w:hAnsi="Times New Roman"/>
          <w:color w:val="auto"/>
          <w:highlight w:val="none"/>
        </w:rPr>
        <w:t>9</w:t>
      </w:r>
      <w:r>
        <w:rPr>
          <w:rFonts w:ascii="Times New Roman" w:hAnsi="Times New Roman"/>
          <w:color w:val="auto"/>
          <w:highlight w:val="none"/>
        </w:rPr>
        <w:t xml:space="preserve"> </w:t>
      </w:r>
      <w:r>
        <w:rPr>
          <w:rFonts w:hint="eastAsia" w:ascii="Times New Roman" w:hAnsi="Times New Roman"/>
          <w:color w:val="auto"/>
          <w:highlight w:val="none"/>
        </w:rPr>
        <w:t>主要材料和关键部件外购</w:t>
      </w:r>
      <w:bookmarkEnd w:id="104"/>
    </w:p>
    <w:p>
      <w:pPr>
        <w:spacing w:line="400" w:lineRule="exact"/>
        <w:ind w:firstLine="420" w:firstLineChars="200"/>
        <w:rPr>
          <w:color w:val="auto"/>
          <w:highlight w:val="none"/>
        </w:rPr>
      </w:pPr>
      <w:r>
        <w:rPr>
          <w:rFonts w:hint="eastAsia" w:ascii="Times New Roman" w:hAnsi="Times New Roman"/>
          <w:color w:val="auto"/>
          <w:highlight w:val="none"/>
        </w:rPr>
        <w:t>供应商拟对主要材料和关键部件进行外购的，应符合第五章“采购需求”中提出的或允许外购的相关规定，并在响应文件中作出说明。</w:t>
      </w:r>
    </w:p>
    <w:p>
      <w:pPr>
        <w:pStyle w:val="4"/>
        <w:spacing w:line="240" w:lineRule="auto"/>
        <w:ind w:firstLine="137"/>
        <w:rPr>
          <w:rFonts w:ascii="Times New Roman" w:hAnsi="Times New Roman"/>
          <w:color w:val="auto"/>
          <w:highlight w:val="none"/>
        </w:rPr>
      </w:pPr>
      <w:bookmarkStart w:id="105" w:name="_Toc501460661"/>
      <w:bookmarkStart w:id="106" w:name="_Toc725"/>
      <w:r>
        <w:rPr>
          <w:rFonts w:ascii="Times New Roman" w:hAnsi="Times New Roman"/>
          <w:color w:val="auto"/>
          <w:highlight w:val="none"/>
        </w:rPr>
        <w:t>1.1</w:t>
      </w:r>
      <w:r>
        <w:rPr>
          <w:rFonts w:hint="eastAsia" w:ascii="Times New Roman" w:hAnsi="Times New Roman"/>
          <w:color w:val="auto"/>
          <w:highlight w:val="none"/>
        </w:rPr>
        <w:t>0</w:t>
      </w:r>
      <w:r>
        <w:rPr>
          <w:rFonts w:ascii="Times New Roman" w:hAnsi="Times New Roman"/>
          <w:color w:val="auto"/>
          <w:highlight w:val="none"/>
        </w:rPr>
        <w:t xml:space="preserve"> 响应和偏差</w:t>
      </w:r>
      <w:bookmarkEnd w:id="105"/>
      <w:bookmarkEnd w:id="106"/>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0</w:t>
      </w:r>
      <w:r>
        <w:rPr>
          <w:rFonts w:ascii="Times New Roman" w:hAnsi="Times New Roman"/>
          <w:color w:val="auto"/>
          <w:highlight w:val="none"/>
        </w:rPr>
        <w:t>.1</w:t>
      </w:r>
      <w:r>
        <w:rPr>
          <w:rFonts w:hint="eastAsia" w:ascii="Times New Roman" w:hAnsi="Times New Roman"/>
          <w:color w:val="auto"/>
          <w:highlight w:val="none"/>
        </w:rPr>
        <w:t xml:space="preserve"> 采购需求和合同条款及格式中的关键条款均以“</w:t>
      </w:r>
      <w:r>
        <w:rPr>
          <w:rFonts w:ascii="Times New Roman" w:hAnsi="Times New Roman"/>
          <w:color w:val="auto"/>
          <w:highlight w:val="none"/>
        </w:rPr>
        <w:t>*</w:t>
      </w:r>
      <w:r>
        <w:rPr>
          <w:rFonts w:hint="eastAsia" w:ascii="Times New Roman" w:hAnsi="Times New Roman"/>
          <w:color w:val="auto"/>
          <w:highlight w:val="none"/>
        </w:rPr>
        <w:t>”符号标记。响应文件</w:t>
      </w:r>
      <w:r>
        <w:rPr>
          <w:rFonts w:ascii="Times New Roman" w:hAnsi="Times New Roman"/>
          <w:color w:val="auto"/>
          <w:highlight w:val="none"/>
        </w:rPr>
        <w:t>应当对</w:t>
      </w:r>
      <w:r>
        <w:rPr>
          <w:rFonts w:hint="eastAsia" w:ascii="Times New Roman" w:hAnsi="Times New Roman"/>
          <w:color w:val="auto"/>
          <w:highlight w:val="none"/>
        </w:rPr>
        <w:t>采购需求和合同条款及格式中的关键条款</w:t>
      </w:r>
      <w:r>
        <w:rPr>
          <w:rFonts w:ascii="Times New Roman" w:hAnsi="Times New Roman"/>
          <w:color w:val="auto"/>
          <w:highlight w:val="none"/>
        </w:rPr>
        <w:t>作出满足性或更有利于</w:t>
      </w:r>
      <w:r>
        <w:rPr>
          <w:rFonts w:hint="eastAsia" w:ascii="Times New Roman" w:hAnsi="Times New Roman"/>
          <w:color w:val="auto"/>
          <w:highlight w:val="none"/>
        </w:rPr>
        <w:t>采购人</w:t>
      </w:r>
      <w:r>
        <w:rPr>
          <w:rFonts w:ascii="Times New Roman" w:hAnsi="Times New Roman"/>
          <w:color w:val="auto"/>
          <w:highlight w:val="none"/>
        </w:rPr>
        <w:t>的响应，否则，</w:t>
      </w:r>
      <w:r>
        <w:rPr>
          <w:rFonts w:hint="eastAsia" w:ascii="Times New Roman" w:hAnsi="Times New Roman"/>
          <w:color w:val="auto"/>
          <w:highlight w:val="none"/>
        </w:rPr>
        <w:t>供应商</w:t>
      </w:r>
      <w:r>
        <w:rPr>
          <w:rFonts w:ascii="Times New Roman" w:hAnsi="Times New Roman"/>
          <w:color w:val="auto"/>
          <w:highlight w:val="none"/>
        </w:rPr>
        <w:t>的</w:t>
      </w:r>
      <w:r>
        <w:rPr>
          <w:rFonts w:hint="eastAsia" w:ascii="Times New Roman" w:hAnsi="Times New Roman"/>
          <w:color w:val="auto"/>
          <w:highlight w:val="none"/>
        </w:rPr>
        <w:t>响应文件将被视为无效。</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0</w:t>
      </w:r>
      <w:r>
        <w:rPr>
          <w:rFonts w:ascii="Times New Roman" w:hAnsi="Times New Roman"/>
          <w:color w:val="auto"/>
          <w:highlight w:val="none"/>
        </w:rPr>
        <w:t>.2</w:t>
      </w:r>
      <w:r>
        <w:rPr>
          <w:rFonts w:hint="eastAsia" w:ascii="Times New Roman" w:hAnsi="Times New Roman"/>
          <w:color w:val="auto"/>
          <w:highlight w:val="none"/>
        </w:rPr>
        <w:t xml:space="preserve"> 供应商须知前附表</w:t>
      </w:r>
      <w:r>
        <w:rPr>
          <w:rFonts w:ascii="Times New Roman" w:hAnsi="Times New Roman"/>
          <w:color w:val="auto"/>
          <w:highlight w:val="none"/>
        </w:rPr>
        <w:t>规定了</w:t>
      </w:r>
      <w:r>
        <w:rPr>
          <w:rFonts w:hint="eastAsia" w:ascii="Times New Roman" w:hAnsi="Times New Roman"/>
          <w:color w:val="auto"/>
          <w:highlight w:val="none"/>
        </w:rPr>
        <w:t>对非关键条款允许</w:t>
      </w:r>
      <w:r>
        <w:rPr>
          <w:rFonts w:ascii="Times New Roman" w:hAnsi="Times New Roman"/>
          <w:color w:val="auto"/>
          <w:highlight w:val="none"/>
        </w:rPr>
        <w:t>偏差的范围和可以偏差</w:t>
      </w:r>
      <w:r>
        <w:rPr>
          <w:rFonts w:hint="eastAsia" w:ascii="Times New Roman" w:hAnsi="Times New Roman"/>
          <w:color w:val="auto"/>
          <w:highlight w:val="none"/>
        </w:rPr>
        <w:t>的</w:t>
      </w:r>
      <w:r>
        <w:rPr>
          <w:rFonts w:ascii="Times New Roman" w:hAnsi="Times New Roman"/>
          <w:color w:val="auto"/>
          <w:highlight w:val="none"/>
        </w:rPr>
        <w:t>项数的</w:t>
      </w:r>
      <w:r>
        <w:rPr>
          <w:rFonts w:hint="eastAsia" w:ascii="Times New Roman" w:hAnsi="Times New Roman"/>
          <w:color w:val="auto"/>
          <w:highlight w:val="none"/>
        </w:rPr>
        <w:t>，如响应文件存在</w:t>
      </w:r>
      <w:r>
        <w:rPr>
          <w:rFonts w:ascii="Times New Roman" w:hAnsi="Times New Roman"/>
          <w:color w:val="auto"/>
          <w:highlight w:val="none"/>
        </w:rPr>
        <w:t>的偏差</w:t>
      </w:r>
      <w:r>
        <w:rPr>
          <w:rFonts w:hint="eastAsia" w:ascii="Times New Roman" w:hAnsi="Times New Roman"/>
          <w:color w:val="auto"/>
          <w:highlight w:val="none"/>
        </w:rPr>
        <w:t>超出</w:t>
      </w:r>
      <w:r>
        <w:rPr>
          <w:rFonts w:ascii="Times New Roman" w:hAnsi="Times New Roman"/>
          <w:color w:val="auto"/>
          <w:highlight w:val="none"/>
        </w:rPr>
        <w:t>上述范围</w:t>
      </w:r>
      <w:r>
        <w:rPr>
          <w:rFonts w:hint="eastAsia" w:ascii="Times New Roman" w:hAnsi="Times New Roman"/>
          <w:color w:val="auto"/>
          <w:highlight w:val="none"/>
        </w:rPr>
        <w:t>或</w:t>
      </w:r>
      <w:r>
        <w:rPr>
          <w:rFonts w:ascii="Times New Roman" w:hAnsi="Times New Roman"/>
          <w:color w:val="auto"/>
          <w:highlight w:val="none"/>
        </w:rPr>
        <w:t>项数</w:t>
      </w:r>
      <w:r>
        <w:rPr>
          <w:rFonts w:hint="eastAsia" w:ascii="Times New Roman" w:hAnsi="Times New Roman"/>
          <w:color w:val="auto"/>
          <w:highlight w:val="none"/>
        </w:rPr>
        <w:t>，将被视为无效</w:t>
      </w:r>
      <w:r>
        <w:rPr>
          <w:rFonts w:ascii="Times New Roman" w:hAnsi="Times New Roman"/>
          <w:color w:val="auto"/>
          <w:highlight w:val="none"/>
        </w:rPr>
        <w:t>。</w:t>
      </w:r>
    </w:p>
    <w:p>
      <w:pPr>
        <w:pStyle w:val="3"/>
        <w:rPr>
          <w:rFonts w:ascii="Times New Roman" w:hAnsi="Times New Roman"/>
          <w:color w:val="auto"/>
          <w:highlight w:val="none"/>
        </w:rPr>
      </w:pPr>
      <w:bookmarkStart w:id="107" w:name="_Toc501460662"/>
      <w:bookmarkStart w:id="108" w:name="_Toc992"/>
      <w:r>
        <w:rPr>
          <w:rFonts w:ascii="Times New Roman" w:hAnsi="Times New Roman"/>
          <w:color w:val="auto"/>
          <w:highlight w:val="none"/>
        </w:rPr>
        <w:t xml:space="preserve">2. </w:t>
      </w:r>
      <w:bookmarkEnd w:id="107"/>
      <w:r>
        <w:rPr>
          <w:rFonts w:hint="eastAsia" w:ascii="Times New Roman" w:hAnsi="Times New Roman"/>
          <w:color w:val="auto"/>
          <w:highlight w:val="none"/>
        </w:rPr>
        <w:t>采购文件</w:t>
      </w:r>
      <w:bookmarkEnd w:id="108"/>
    </w:p>
    <w:p>
      <w:pPr>
        <w:pStyle w:val="4"/>
        <w:spacing w:line="240" w:lineRule="auto"/>
        <w:ind w:firstLine="137"/>
        <w:rPr>
          <w:rFonts w:ascii="Times New Roman" w:hAnsi="Times New Roman"/>
          <w:color w:val="auto"/>
          <w:highlight w:val="none"/>
        </w:rPr>
      </w:pPr>
      <w:bookmarkStart w:id="109" w:name="_Toc11388"/>
      <w:bookmarkStart w:id="110" w:name="_Toc501460663"/>
      <w:r>
        <w:rPr>
          <w:rFonts w:ascii="Times New Roman" w:hAnsi="Times New Roman"/>
          <w:color w:val="auto"/>
          <w:highlight w:val="none"/>
        </w:rPr>
        <w:t>2.1</w:t>
      </w:r>
      <w:r>
        <w:rPr>
          <w:rFonts w:hint="eastAsia" w:ascii="Times New Roman" w:hAnsi="Times New Roman"/>
          <w:color w:val="auto"/>
          <w:highlight w:val="none"/>
        </w:rPr>
        <w:t xml:space="preserve"> 采购文件</w:t>
      </w:r>
      <w:r>
        <w:rPr>
          <w:rFonts w:ascii="Times New Roman" w:hAnsi="Times New Roman"/>
          <w:color w:val="auto"/>
          <w:highlight w:val="none"/>
        </w:rPr>
        <w:t>的组成</w:t>
      </w:r>
      <w:bookmarkEnd w:id="109"/>
    </w:p>
    <w:p>
      <w:pPr>
        <w:spacing w:line="400" w:lineRule="exact"/>
        <w:ind w:firstLine="359" w:firstLineChars="171"/>
        <w:rPr>
          <w:rFonts w:ascii="Times New Roman" w:hAnsi="Times New Roman"/>
          <w:color w:val="auto"/>
          <w:highlight w:val="none"/>
        </w:rPr>
      </w:pPr>
      <w:r>
        <w:rPr>
          <w:rFonts w:ascii="Times New Roman" w:hAnsi="Times New Roman"/>
          <w:color w:val="auto"/>
          <w:highlight w:val="none"/>
        </w:rPr>
        <w:t>本</w:t>
      </w:r>
      <w:r>
        <w:rPr>
          <w:rFonts w:hint="eastAsia" w:ascii="Times New Roman" w:hAnsi="Times New Roman"/>
          <w:color w:val="auto"/>
          <w:highlight w:val="none"/>
        </w:rPr>
        <w:t>采购文件</w:t>
      </w:r>
      <w:r>
        <w:rPr>
          <w:rFonts w:ascii="Times New Roman" w:hAnsi="Times New Roman"/>
          <w:color w:val="auto"/>
          <w:highlight w:val="none"/>
        </w:rPr>
        <w:t>包括：</w:t>
      </w:r>
    </w:p>
    <w:p>
      <w:pPr>
        <w:spacing w:line="400" w:lineRule="exact"/>
        <w:ind w:firstLine="359" w:firstLineChars="171"/>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询比采购公告</w:t>
      </w:r>
      <w:r>
        <w:rPr>
          <w:rFonts w:ascii="Times New Roman" w:hAnsi="Times New Roman"/>
          <w:color w:val="auto"/>
          <w:highlight w:val="none"/>
        </w:rPr>
        <w:t>（或</w:t>
      </w:r>
      <w:r>
        <w:rPr>
          <w:rFonts w:hint="eastAsia" w:ascii="Times New Roman" w:hAnsi="Times New Roman"/>
          <w:color w:val="auto"/>
          <w:highlight w:val="none"/>
        </w:rPr>
        <w:t>询比采购邀请书</w:t>
      </w:r>
      <w:r>
        <w:rPr>
          <w:rFonts w:ascii="Times New Roman" w:hAnsi="Times New Roman"/>
          <w:color w:val="auto"/>
          <w:highlight w:val="none"/>
        </w:rPr>
        <w:t>）；</w:t>
      </w:r>
    </w:p>
    <w:p>
      <w:pPr>
        <w:spacing w:line="400" w:lineRule="exact"/>
        <w:ind w:firstLine="359" w:firstLineChars="171"/>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供应商</w:t>
      </w:r>
      <w:r>
        <w:rPr>
          <w:rFonts w:ascii="Times New Roman" w:hAnsi="Times New Roman"/>
          <w:color w:val="auto"/>
          <w:highlight w:val="none"/>
        </w:rPr>
        <w:t>须知；</w:t>
      </w:r>
    </w:p>
    <w:p>
      <w:pPr>
        <w:spacing w:line="400" w:lineRule="exact"/>
        <w:ind w:firstLine="359" w:firstLineChars="171"/>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评审</w:t>
      </w:r>
      <w:r>
        <w:rPr>
          <w:rFonts w:ascii="Times New Roman" w:hAnsi="Times New Roman"/>
          <w:color w:val="auto"/>
          <w:highlight w:val="none"/>
        </w:rPr>
        <w:t>办法；</w:t>
      </w:r>
    </w:p>
    <w:p>
      <w:pPr>
        <w:spacing w:line="400" w:lineRule="exact"/>
        <w:ind w:firstLine="359" w:firstLineChars="171"/>
        <w:rPr>
          <w:rFonts w:ascii="Times New Roman" w:hAnsi="Times New Roman"/>
          <w:color w:val="auto"/>
          <w:highlight w:val="none"/>
        </w:rPr>
      </w:pPr>
      <w:r>
        <w:rPr>
          <w:rFonts w:ascii="Times New Roman" w:hAnsi="Times New Roman"/>
          <w:color w:val="auto"/>
          <w:highlight w:val="none"/>
        </w:rPr>
        <w:t>（4）合同条款及格式；</w:t>
      </w:r>
    </w:p>
    <w:p>
      <w:pPr>
        <w:spacing w:line="400" w:lineRule="exact"/>
        <w:ind w:firstLine="359" w:firstLineChars="171"/>
        <w:rPr>
          <w:rFonts w:ascii="Times New Roman" w:hAnsi="Times New Roman"/>
          <w:color w:val="auto"/>
          <w:highlight w:val="none"/>
        </w:rPr>
      </w:pPr>
      <w:r>
        <w:rPr>
          <w:rFonts w:ascii="Times New Roman" w:hAnsi="Times New Roman"/>
          <w:color w:val="auto"/>
          <w:highlight w:val="none"/>
        </w:rPr>
        <w:t>（5）</w:t>
      </w:r>
      <w:r>
        <w:rPr>
          <w:rFonts w:hint="eastAsia" w:ascii="Times New Roman" w:hAnsi="Times New Roman"/>
          <w:color w:val="auto"/>
          <w:highlight w:val="none"/>
        </w:rPr>
        <w:t>采购需求；</w:t>
      </w:r>
    </w:p>
    <w:p>
      <w:pPr>
        <w:spacing w:line="400" w:lineRule="exact"/>
        <w:ind w:firstLine="359" w:firstLineChars="171"/>
        <w:rPr>
          <w:rFonts w:ascii="Times New Roman" w:hAnsi="Times New Roman"/>
          <w:color w:val="auto"/>
          <w:highlight w:val="none"/>
        </w:rPr>
      </w:pPr>
      <w:r>
        <w:rPr>
          <w:rFonts w:hint="eastAsia" w:ascii="Times New Roman" w:hAnsi="Times New Roman"/>
          <w:color w:val="auto"/>
          <w:highlight w:val="none"/>
        </w:rPr>
        <w:t>（6）响应文件</w:t>
      </w:r>
      <w:r>
        <w:rPr>
          <w:rFonts w:ascii="Times New Roman" w:hAnsi="Times New Roman"/>
          <w:color w:val="auto"/>
          <w:highlight w:val="none"/>
        </w:rPr>
        <w:t>格式；</w:t>
      </w:r>
    </w:p>
    <w:p>
      <w:pPr>
        <w:spacing w:line="400" w:lineRule="exact"/>
        <w:ind w:firstLine="359" w:firstLineChars="171"/>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7</w:t>
      </w:r>
      <w:r>
        <w:rPr>
          <w:rFonts w:ascii="Times New Roman" w:hAnsi="Times New Roman"/>
          <w:color w:val="auto"/>
          <w:highlight w:val="none"/>
        </w:rPr>
        <w:t>）</w:t>
      </w:r>
      <w:r>
        <w:rPr>
          <w:rFonts w:hint="eastAsia" w:ascii="Times New Roman" w:hAnsi="Times New Roman"/>
          <w:color w:val="auto"/>
          <w:highlight w:val="none"/>
        </w:rPr>
        <w:t>供应商须知前附表</w:t>
      </w:r>
      <w:r>
        <w:rPr>
          <w:rFonts w:ascii="Times New Roman" w:hAnsi="Times New Roman"/>
          <w:color w:val="auto"/>
          <w:highlight w:val="none"/>
        </w:rPr>
        <w:t>规定的其他资料。</w:t>
      </w:r>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采购人依照本章规定，对采购文件所做</w:t>
      </w:r>
      <w:r>
        <w:rPr>
          <w:rFonts w:ascii="Times New Roman" w:hAnsi="Times New Roman"/>
          <w:color w:val="auto"/>
          <w:highlight w:val="none"/>
        </w:rPr>
        <w:t>的澄清、修改，构成</w:t>
      </w:r>
      <w:r>
        <w:rPr>
          <w:rFonts w:hint="eastAsia" w:ascii="Times New Roman" w:hAnsi="Times New Roman"/>
          <w:color w:val="auto"/>
          <w:highlight w:val="none"/>
        </w:rPr>
        <w:t>采购文件</w:t>
      </w:r>
      <w:r>
        <w:rPr>
          <w:rFonts w:ascii="Times New Roman" w:hAnsi="Times New Roman"/>
          <w:color w:val="auto"/>
          <w:highlight w:val="none"/>
        </w:rPr>
        <w:t>的组成部分。</w:t>
      </w:r>
    </w:p>
    <w:bookmarkEnd w:id="110"/>
    <w:p>
      <w:pPr>
        <w:pStyle w:val="4"/>
        <w:spacing w:line="240" w:lineRule="auto"/>
        <w:ind w:firstLine="137"/>
        <w:rPr>
          <w:rFonts w:ascii="Times New Roman" w:hAnsi="Times New Roman"/>
          <w:color w:val="auto"/>
          <w:highlight w:val="none"/>
        </w:rPr>
      </w:pPr>
      <w:bookmarkStart w:id="111" w:name="_Toc485303289"/>
      <w:bookmarkStart w:id="112" w:name="_Toc501460664"/>
      <w:bookmarkStart w:id="113" w:name="_Toc24799"/>
      <w:bookmarkStart w:id="114" w:name="_Toc16623"/>
      <w:bookmarkStart w:id="115" w:name="_Toc300834960"/>
      <w:bookmarkStart w:id="116" w:name="_Toc144974508"/>
      <w:bookmarkStart w:id="117" w:name="_Toc247513963"/>
      <w:bookmarkStart w:id="118" w:name="_Toc152042316"/>
      <w:bookmarkStart w:id="119" w:name="_Toc361508595"/>
      <w:bookmarkStart w:id="120" w:name="_Toc369531526"/>
      <w:bookmarkStart w:id="121" w:name="_Toc152045540"/>
      <w:bookmarkStart w:id="122" w:name="_Toc247527564"/>
      <w:bookmarkStart w:id="123" w:name="_Toc384308220"/>
      <w:bookmarkStart w:id="124" w:name="_Toc352691484"/>
      <w:r>
        <w:rPr>
          <w:rFonts w:ascii="Times New Roman" w:hAnsi="Times New Roman"/>
          <w:color w:val="auto"/>
          <w:highlight w:val="none"/>
        </w:rPr>
        <w:t xml:space="preserve">2.2 </w:t>
      </w:r>
      <w:r>
        <w:rPr>
          <w:rFonts w:hint="eastAsia" w:ascii="Times New Roman" w:hAnsi="Times New Roman"/>
          <w:color w:val="auto"/>
          <w:highlight w:val="none"/>
        </w:rPr>
        <w:t>采购文件</w:t>
      </w:r>
      <w:r>
        <w:rPr>
          <w:rFonts w:ascii="Times New Roman" w:hAnsi="Times New Roman"/>
          <w:color w:val="auto"/>
          <w:highlight w:val="none"/>
        </w:rPr>
        <w:t>的澄清</w:t>
      </w:r>
      <w:bookmarkEnd w:id="111"/>
      <w:bookmarkEnd w:id="112"/>
      <w:r>
        <w:rPr>
          <w:rFonts w:hint="eastAsia" w:ascii="Times New Roman" w:hAnsi="Times New Roman"/>
          <w:color w:val="auto"/>
          <w:highlight w:val="none"/>
        </w:rPr>
        <w:t>和修改</w:t>
      </w:r>
      <w:bookmarkEnd w:id="113"/>
    </w:p>
    <w:p>
      <w:pPr>
        <w:spacing w:line="400" w:lineRule="exact"/>
        <w:ind w:firstLine="420" w:firstLineChars="200"/>
        <w:rPr>
          <w:rFonts w:ascii="Times New Roman" w:hAnsi="Times New Roman"/>
          <w:color w:val="auto"/>
          <w:highlight w:val="none"/>
        </w:rPr>
      </w:pPr>
      <w:bookmarkStart w:id="125" w:name="_Toc352691479"/>
      <w:bookmarkStart w:id="126" w:name="_Toc485303290"/>
      <w:r>
        <w:rPr>
          <w:rFonts w:ascii="Times New Roman" w:hAnsi="Times New Roman"/>
          <w:color w:val="auto"/>
          <w:highlight w:val="none"/>
        </w:rPr>
        <w:t xml:space="preserve">2.2.1 </w:t>
      </w:r>
      <w:r>
        <w:rPr>
          <w:rFonts w:hint="eastAsia" w:ascii="Times New Roman" w:hAnsi="Times New Roman"/>
          <w:color w:val="auto"/>
          <w:highlight w:val="none"/>
        </w:rPr>
        <w:t>供应商</w:t>
      </w:r>
      <w:r>
        <w:rPr>
          <w:rFonts w:ascii="Times New Roman" w:hAnsi="Times New Roman"/>
          <w:color w:val="auto"/>
          <w:highlight w:val="none"/>
        </w:rPr>
        <w:t>应仔细阅读和检查</w:t>
      </w:r>
      <w:r>
        <w:rPr>
          <w:rFonts w:hint="eastAsia" w:ascii="Times New Roman" w:hAnsi="Times New Roman"/>
          <w:color w:val="auto"/>
          <w:highlight w:val="none"/>
        </w:rPr>
        <w:t>采购文件</w:t>
      </w:r>
      <w:r>
        <w:rPr>
          <w:rFonts w:ascii="Times New Roman" w:hAnsi="Times New Roman"/>
          <w:color w:val="auto"/>
          <w:highlight w:val="none"/>
        </w:rPr>
        <w:t>的全部内容。如发现缺页或附件不全，应及时向</w:t>
      </w:r>
      <w:r>
        <w:rPr>
          <w:rFonts w:hint="eastAsia" w:ascii="Times New Roman" w:hAnsi="Times New Roman"/>
          <w:color w:val="auto"/>
          <w:highlight w:val="none"/>
        </w:rPr>
        <w:t>采购人</w:t>
      </w:r>
      <w:r>
        <w:rPr>
          <w:rFonts w:ascii="Times New Roman" w:hAnsi="Times New Roman"/>
          <w:color w:val="auto"/>
          <w:highlight w:val="none"/>
        </w:rPr>
        <w:t>提出，以便补齐。如有疑问，应</w:t>
      </w:r>
      <w:r>
        <w:rPr>
          <w:rFonts w:hint="eastAsia" w:ascii="Times New Roman" w:hAnsi="Times New Roman"/>
          <w:color w:val="auto"/>
          <w:highlight w:val="none"/>
        </w:rPr>
        <w:t>在</w:t>
      </w:r>
      <w:r>
        <w:rPr>
          <w:rFonts w:hint="eastAsia" w:ascii="黑体" w:hAnsi="黑体" w:eastAsia="黑体" w:cs="黑体"/>
          <w:iCs/>
          <w:color w:val="auto"/>
          <w:highlight w:val="none"/>
        </w:rPr>
        <w:t>供应商须知前附表</w:t>
      </w:r>
      <w:r>
        <w:rPr>
          <w:rFonts w:ascii="Times New Roman" w:hAnsi="Times New Roman"/>
          <w:color w:val="auto"/>
          <w:highlight w:val="none"/>
        </w:rPr>
        <w:t>规定的时间</w:t>
      </w:r>
      <w:r>
        <w:rPr>
          <w:rFonts w:hint="eastAsia" w:ascii="Times New Roman" w:hAnsi="Times New Roman"/>
          <w:color w:val="auto"/>
          <w:highlight w:val="none"/>
        </w:rPr>
        <w:t>内</w:t>
      </w:r>
      <w:r>
        <w:rPr>
          <w:rFonts w:ascii="Times New Roman" w:hAnsi="Times New Roman"/>
          <w:color w:val="auto"/>
          <w:highlight w:val="none"/>
        </w:rPr>
        <w:t>，</w:t>
      </w:r>
      <w:r>
        <w:rPr>
          <w:rFonts w:hint="eastAsia" w:ascii="Times New Roman" w:hAnsi="Times New Roman"/>
          <w:color w:val="auto"/>
          <w:highlight w:val="none"/>
        </w:rPr>
        <w:t>以书面形式</w:t>
      </w:r>
      <w:r>
        <w:rPr>
          <w:rFonts w:ascii="Times New Roman" w:hAnsi="Times New Roman"/>
          <w:color w:val="auto"/>
          <w:highlight w:val="none"/>
        </w:rPr>
        <w:t>要求</w:t>
      </w:r>
      <w:r>
        <w:rPr>
          <w:rFonts w:hint="eastAsia" w:ascii="Times New Roman" w:hAnsi="Times New Roman"/>
          <w:color w:val="auto"/>
          <w:highlight w:val="none"/>
        </w:rPr>
        <w:t>采购人</w:t>
      </w:r>
      <w:r>
        <w:rPr>
          <w:rFonts w:ascii="Times New Roman" w:hAnsi="Times New Roman"/>
          <w:color w:val="auto"/>
          <w:highlight w:val="none"/>
        </w:rPr>
        <w:t>对</w:t>
      </w:r>
      <w:r>
        <w:rPr>
          <w:rFonts w:hint="eastAsia" w:ascii="Times New Roman" w:hAnsi="Times New Roman"/>
          <w:color w:val="auto"/>
          <w:highlight w:val="none"/>
        </w:rPr>
        <w:t>采购文件</w:t>
      </w:r>
      <w:r>
        <w:rPr>
          <w:rFonts w:ascii="Times New Roman" w:hAnsi="Times New Roman"/>
          <w:color w:val="auto"/>
          <w:highlight w:val="none"/>
        </w:rPr>
        <w:t>予以澄清。</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 xml:space="preserve">2.2.2 </w:t>
      </w:r>
      <w:r>
        <w:rPr>
          <w:rFonts w:hint="eastAsia" w:ascii="Times New Roman" w:hAnsi="Times New Roman"/>
          <w:color w:val="auto"/>
          <w:highlight w:val="none"/>
        </w:rPr>
        <w:t>采购人可根据供应商的要求或主动对采购文件进行澄清或修改。澄清或修改</w:t>
      </w:r>
      <w:r>
        <w:rPr>
          <w:rFonts w:ascii="Times New Roman" w:hAnsi="Times New Roman"/>
          <w:color w:val="auto"/>
          <w:highlight w:val="none"/>
        </w:rPr>
        <w:t>的</w:t>
      </w:r>
      <w:r>
        <w:rPr>
          <w:rFonts w:hint="eastAsia" w:ascii="Times New Roman" w:hAnsi="Times New Roman"/>
          <w:color w:val="auto"/>
          <w:highlight w:val="none"/>
        </w:rPr>
        <w:t>内容以补充文件的形式</w:t>
      </w:r>
      <w:r>
        <w:rPr>
          <w:rFonts w:ascii="Times New Roman" w:hAnsi="Times New Roman"/>
          <w:color w:val="auto"/>
          <w:highlight w:val="none"/>
        </w:rPr>
        <w:t>发给所有</w:t>
      </w:r>
      <w:r>
        <w:rPr>
          <w:rFonts w:hint="eastAsia" w:ascii="Times New Roman" w:hAnsi="Times New Roman"/>
          <w:color w:val="auto"/>
          <w:highlight w:val="none"/>
        </w:rPr>
        <w:t>获取采购文件</w:t>
      </w:r>
      <w:r>
        <w:rPr>
          <w:rFonts w:ascii="Times New Roman" w:hAnsi="Times New Roman"/>
          <w:color w:val="auto"/>
          <w:highlight w:val="none"/>
        </w:rPr>
        <w:t>的</w:t>
      </w:r>
      <w:r>
        <w:rPr>
          <w:rFonts w:hint="eastAsia" w:ascii="Times New Roman" w:hAnsi="Times New Roman"/>
          <w:color w:val="auto"/>
          <w:highlight w:val="none"/>
        </w:rPr>
        <w:t>供应商</w:t>
      </w:r>
      <w:r>
        <w:rPr>
          <w:rFonts w:ascii="Times New Roman" w:hAnsi="Times New Roman"/>
          <w:color w:val="auto"/>
          <w:highlight w:val="none"/>
        </w:rPr>
        <w:t>。</w:t>
      </w:r>
      <w:r>
        <w:rPr>
          <w:rFonts w:hint="eastAsia" w:ascii="Times New Roman" w:hAnsi="Times New Roman"/>
          <w:color w:val="auto"/>
          <w:highlight w:val="none"/>
        </w:rPr>
        <w:t>采购人可视具体情况在补充文件中通知供应商推迟递交响应文件</w:t>
      </w:r>
      <w:r>
        <w:rPr>
          <w:rFonts w:ascii="Times New Roman" w:hAnsi="Times New Roman"/>
          <w:color w:val="auto"/>
          <w:highlight w:val="none"/>
        </w:rPr>
        <w:t>的截止时间。</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 xml:space="preserve">2.2.3 </w:t>
      </w:r>
      <w:r>
        <w:rPr>
          <w:rFonts w:hint="eastAsia" w:ascii="Times New Roman" w:hAnsi="Times New Roman"/>
          <w:color w:val="auto"/>
          <w:highlight w:val="none"/>
        </w:rPr>
        <w:t>供应商</w:t>
      </w:r>
      <w:r>
        <w:rPr>
          <w:rFonts w:ascii="Times New Roman" w:hAnsi="Times New Roman"/>
          <w:color w:val="auto"/>
          <w:highlight w:val="none"/>
        </w:rPr>
        <w:t>在收到</w:t>
      </w:r>
      <w:r>
        <w:rPr>
          <w:rFonts w:hint="eastAsia" w:ascii="Times New Roman" w:hAnsi="Times New Roman"/>
          <w:color w:val="auto"/>
          <w:highlight w:val="none"/>
        </w:rPr>
        <w:t>补充文件</w:t>
      </w:r>
      <w:r>
        <w:rPr>
          <w:rFonts w:ascii="Times New Roman" w:hAnsi="Times New Roman"/>
          <w:color w:val="auto"/>
          <w:highlight w:val="none"/>
        </w:rPr>
        <w:t>后，应按</w:t>
      </w:r>
      <w:r>
        <w:rPr>
          <w:rFonts w:hint="eastAsia" w:ascii="黑体" w:hAnsi="黑体" w:eastAsia="黑体" w:cs="黑体"/>
          <w:iCs/>
          <w:color w:val="auto"/>
          <w:highlight w:val="none"/>
        </w:rPr>
        <w:t>供应商须知前附表</w:t>
      </w:r>
      <w:r>
        <w:rPr>
          <w:rFonts w:ascii="Times New Roman" w:hAnsi="Times New Roman"/>
          <w:color w:val="auto"/>
          <w:highlight w:val="none"/>
        </w:rPr>
        <w:t>规定的时间和</w:t>
      </w:r>
      <w:r>
        <w:rPr>
          <w:rFonts w:hint="eastAsia" w:ascii="Times New Roman" w:hAnsi="Times New Roman"/>
          <w:color w:val="auto"/>
          <w:highlight w:val="none"/>
        </w:rPr>
        <w:t>方式</w:t>
      </w:r>
      <w:r>
        <w:rPr>
          <w:rFonts w:ascii="Times New Roman" w:hAnsi="Times New Roman"/>
          <w:color w:val="auto"/>
          <w:highlight w:val="none"/>
        </w:rPr>
        <w:t>通知</w:t>
      </w:r>
      <w:r>
        <w:rPr>
          <w:rFonts w:hint="eastAsia" w:ascii="Times New Roman" w:hAnsi="Times New Roman"/>
          <w:color w:val="auto"/>
          <w:highlight w:val="none"/>
        </w:rPr>
        <w:t>采购人</w:t>
      </w:r>
      <w:r>
        <w:rPr>
          <w:rFonts w:ascii="Times New Roman" w:hAnsi="Times New Roman"/>
          <w:color w:val="auto"/>
          <w:highlight w:val="none"/>
        </w:rPr>
        <w:t>，确认已收到该</w:t>
      </w:r>
      <w:r>
        <w:rPr>
          <w:rFonts w:hint="eastAsia" w:ascii="Times New Roman" w:hAnsi="Times New Roman"/>
          <w:color w:val="auto"/>
          <w:highlight w:val="none"/>
        </w:rPr>
        <w:t>补充文件</w:t>
      </w:r>
      <w:r>
        <w:rPr>
          <w:rFonts w:ascii="Times New Roman" w:hAnsi="Times New Roman"/>
          <w:color w:val="auto"/>
          <w:highlight w:val="none"/>
        </w:rPr>
        <w:t>。</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2.2.4 除非确有必要，</w:t>
      </w:r>
      <w:r>
        <w:rPr>
          <w:rFonts w:hint="eastAsia" w:ascii="Times New Roman" w:hAnsi="Times New Roman"/>
          <w:color w:val="auto"/>
          <w:highlight w:val="none"/>
        </w:rPr>
        <w:t>采购人</w:t>
      </w:r>
      <w:r>
        <w:rPr>
          <w:rFonts w:ascii="Times New Roman" w:hAnsi="Times New Roman"/>
          <w:color w:val="auto"/>
          <w:highlight w:val="none"/>
        </w:rPr>
        <w:t>有权拒绝回复</w:t>
      </w:r>
      <w:r>
        <w:rPr>
          <w:rFonts w:hint="eastAsia" w:ascii="Times New Roman" w:hAnsi="Times New Roman"/>
          <w:color w:val="auto"/>
          <w:highlight w:val="none"/>
        </w:rPr>
        <w:t>供应商</w:t>
      </w:r>
      <w:r>
        <w:rPr>
          <w:rFonts w:ascii="Times New Roman" w:hAnsi="Times New Roman"/>
          <w:color w:val="auto"/>
          <w:highlight w:val="none"/>
        </w:rPr>
        <w:t>在</w:t>
      </w:r>
      <w:r>
        <w:rPr>
          <w:rFonts w:hint="eastAsia" w:ascii="Times New Roman" w:hAnsi="Times New Roman"/>
          <w:color w:val="auto"/>
          <w:highlight w:val="none"/>
        </w:rPr>
        <w:t>本章第2.2.1项</w:t>
      </w:r>
      <w:r>
        <w:rPr>
          <w:rFonts w:ascii="Times New Roman" w:hAnsi="Times New Roman"/>
          <w:color w:val="auto"/>
          <w:highlight w:val="none"/>
        </w:rPr>
        <w:t>规定的时间后</w:t>
      </w:r>
      <w:r>
        <w:rPr>
          <w:rFonts w:hint="eastAsia" w:ascii="Times New Roman" w:hAnsi="Times New Roman"/>
          <w:color w:val="auto"/>
          <w:highlight w:val="none"/>
        </w:rPr>
        <w:t>提出</w:t>
      </w:r>
      <w:r>
        <w:rPr>
          <w:rFonts w:ascii="Times New Roman" w:hAnsi="Times New Roman"/>
          <w:color w:val="auto"/>
          <w:highlight w:val="none"/>
        </w:rPr>
        <w:t>的任何澄清要求。</w:t>
      </w:r>
    </w:p>
    <w:bookmarkEnd w:id="114"/>
    <w:bookmarkEnd w:id="115"/>
    <w:bookmarkEnd w:id="116"/>
    <w:bookmarkEnd w:id="117"/>
    <w:bookmarkEnd w:id="118"/>
    <w:bookmarkEnd w:id="119"/>
    <w:bookmarkEnd w:id="120"/>
    <w:bookmarkEnd w:id="121"/>
    <w:bookmarkEnd w:id="122"/>
    <w:bookmarkEnd w:id="123"/>
    <w:bookmarkEnd w:id="124"/>
    <w:bookmarkEnd w:id="125"/>
    <w:bookmarkEnd w:id="126"/>
    <w:p>
      <w:pPr>
        <w:pStyle w:val="3"/>
        <w:rPr>
          <w:rFonts w:ascii="Times New Roman" w:hAnsi="Times New Roman"/>
          <w:color w:val="auto"/>
          <w:highlight w:val="none"/>
        </w:rPr>
      </w:pPr>
      <w:bookmarkStart w:id="127" w:name="_Toc501460667"/>
      <w:bookmarkStart w:id="128" w:name="_Toc25792"/>
      <w:r>
        <w:rPr>
          <w:rFonts w:ascii="Times New Roman" w:hAnsi="Times New Roman"/>
          <w:color w:val="auto"/>
          <w:highlight w:val="none"/>
        </w:rPr>
        <w:t xml:space="preserve">3. </w:t>
      </w:r>
      <w:bookmarkEnd w:id="127"/>
      <w:r>
        <w:rPr>
          <w:rFonts w:hint="eastAsia" w:ascii="Times New Roman" w:hAnsi="Times New Roman"/>
          <w:color w:val="auto"/>
          <w:highlight w:val="none"/>
        </w:rPr>
        <w:t>响应文件</w:t>
      </w:r>
      <w:bookmarkEnd w:id="128"/>
    </w:p>
    <w:p>
      <w:pPr>
        <w:pStyle w:val="4"/>
        <w:spacing w:line="240" w:lineRule="auto"/>
        <w:ind w:firstLine="137"/>
        <w:rPr>
          <w:rFonts w:ascii="Times New Roman" w:hAnsi="Times New Roman"/>
          <w:color w:val="auto"/>
          <w:highlight w:val="none"/>
        </w:rPr>
      </w:pPr>
      <w:bookmarkStart w:id="129" w:name="_Toc13039"/>
      <w:bookmarkStart w:id="130" w:name="_Toc501460668"/>
      <w:r>
        <w:rPr>
          <w:rFonts w:ascii="Times New Roman" w:hAnsi="Times New Roman"/>
          <w:color w:val="auto"/>
          <w:highlight w:val="none"/>
        </w:rPr>
        <w:t xml:space="preserve">3.1 </w:t>
      </w:r>
      <w:r>
        <w:rPr>
          <w:rFonts w:hint="eastAsia" w:ascii="Times New Roman" w:hAnsi="Times New Roman"/>
          <w:color w:val="auto"/>
          <w:highlight w:val="none"/>
        </w:rPr>
        <w:t>响应文件</w:t>
      </w:r>
      <w:r>
        <w:rPr>
          <w:rFonts w:ascii="Times New Roman" w:hAnsi="Times New Roman"/>
          <w:color w:val="auto"/>
          <w:highlight w:val="none"/>
        </w:rPr>
        <w:t>的组成</w:t>
      </w:r>
      <w:bookmarkEnd w:id="129"/>
      <w:bookmarkEnd w:id="130"/>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 xml:space="preserve">3.1.1 </w:t>
      </w:r>
      <w:r>
        <w:rPr>
          <w:rFonts w:hint="eastAsia" w:ascii="Times New Roman" w:hAnsi="Times New Roman"/>
          <w:color w:val="auto"/>
          <w:highlight w:val="none"/>
        </w:rPr>
        <w:t>响应文件</w:t>
      </w:r>
      <w:r>
        <w:rPr>
          <w:rFonts w:ascii="Times New Roman" w:hAnsi="Times New Roman"/>
          <w:color w:val="auto"/>
          <w:highlight w:val="none"/>
        </w:rPr>
        <w:t>应包括下列内容：</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响应函</w:t>
      </w:r>
      <w:r>
        <w:rPr>
          <w:rFonts w:ascii="Times New Roman" w:hAnsi="Times New Roman"/>
          <w:color w:val="auto"/>
          <w:highlight w:val="none"/>
        </w:rPr>
        <w:t>；</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（2）授权委托书</w:t>
      </w:r>
      <w:r>
        <w:rPr>
          <w:rFonts w:hint="eastAsia" w:ascii="Times New Roman" w:hAnsi="Times New Roman"/>
          <w:color w:val="auto"/>
          <w:highlight w:val="none"/>
        </w:rPr>
        <w:t>（如有）</w:t>
      </w:r>
      <w:r>
        <w:rPr>
          <w:rFonts w:ascii="Times New Roman" w:hAnsi="Times New Roman"/>
          <w:color w:val="auto"/>
          <w:highlight w:val="none"/>
        </w:rPr>
        <w:t>；</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（3）联合体协议书</w:t>
      </w:r>
      <w:r>
        <w:rPr>
          <w:rFonts w:hint="eastAsia" w:ascii="Times New Roman" w:hAnsi="Times New Roman"/>
          <w:color w:val="auto"/>
          <w:highlight w:val="none"/>
        </w:rPr>
        <w:t>（如有）</w:t>
      </w:r>
      <w:r>
        <w:rPr>
          <w:rFonts w:ascii="Times New Roman" w:hAnsi="Times New Roman"/>
          <w:color w:val="auto"/>
          <w:highlight w:val="none"/>
        </w:rPr>
        <w:t>；</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响应保证金（如有）</w:t>
      </w:r>
      <w:r>
        <w:rPr>
          <w:rFonts w:ascii="Times New Roman" w:hAnsi="Times New Roman"/>
          <w:color w:val="auto"/>
          <w:highlight w:val="none"/>
        </w:rPr>
        <w:t>；</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（5）商务和技术</w:t>
      </w:r>
      <w:r>
        <w:rPr>
          <w:rFonts w:hint="eastAsia" w:ascii="Times New Roman" w:hAnsi="Times New Roman"/>
          <w:color w:val="auto"/>
          <w:highlight w:val="none"/>
        </w:rPr>
        <w:t>偏差表；</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（6）报价表；</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（7）</w:t>
      </w:r>
      <w:r>
        <w:rPr>
          <w:rFonts w:hint="eastAsia" w:ascii="Times New Roman" w:hAnsi="Times New Roman"/>
          <w:color w:val="auto"/>
          <w:highlight w:val="none"/>
        </w:rPr>
        <w:t>资格审查资料</w:t>
      </w:r>
      <w:r>
        <w:rPr>
          <w:rFonts w:ascii="Times New Roman" w:hAnsi="Times New Roman"/>
          <w:color w:val="auto"/>
          <w:highlight w:val="none"/>
        </w:rPr>
        <w:t>；</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（8）</w:t>
      </w:r>
      <w:r>
        <w:rPr>
          <w:rFonts w:hint="eastAsia" w:ascii="Times New Roman" w:hAnsi="Times New Roman"/>
          <w:color w:val="auto"/>
          <w:highlight w:val="none"/>
        </w:rPr>
        <w:t>响应方案</w:t>
      </w:r>
      <w:r>
        <w:rPr>
          <w:rFonts w:ascii="Times New Roman" w:hAnsi="Times New Roman"/>
          <w:color w:val="auto"/>
          <w:highlight w:val="none"/>
        </w:rPr>
        <w:t>；</w:t>
      </w:r>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（9）</w:t>
      </w:r>
      <w:r>
        <w:rPr>
          <w:rFonts w:hint="eastAsia" w:ascii="黑体" w:hAnsi="黑体" w:eastAsia="黑体" w:cs="黑体"/>
          <w:iCs/>
          <w:color w:val="auto"/>
          <w:highlight w:val="none"/>
        </w:rPr>
        <w:t>供应商须知前附表</w:t>
      </w:r>
      <w:r>
        <w:rPr>
          <w:rFonts w:ascii="Times New Roman" w:hAnsi="Times New Roman"/>
          <w:color w:val="auto"/>
          <w:highlight w:val="none"/>
        </w:rPr>
        <w:t>规定的其他资料。</w:t>
      </w:r>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在</w:t>
      </w:r>
      <w:r>
        <w:rPr>
          <w:rFonts w:hint="eastAsia" w:ascii="Times New Roman" w:hAnsi="Times New Roman"/>
          <w:color w:val="auto"/>
          <w:highlight w:val="none"/>
        </w:rPr>
        <w:t>评审</w:t>
      </w:r>
      <w:r>
        <w:rPr>
          <w:rFonts w:ascii="Times New Roman" w:hAnsi="Times New Roman"/>
          <w:color w:val="auto"/>
          <w:highlight w:val="none"/>
        </w:rPr>
        <w:t>过程中作出的</w:t>
      </w:r>
      <w:r>
        <w:rPr>
          <w:rFonts w:hint="eastAsia" w:ascii="Times New Roman" w:hAnsi="Times New Roman"/>
          <w:color w:val="auto"/>
          <w:highlight w:val="none"/>
        </w:rPr>
        <w:t>符合采购文件要求的澄清、说明和补正</w:t>
      </w:r>
      <w:r>
        <w:rPr>
          <w:rFonts w:ascii="Times New Roman" w:hAnsi="Times New Roman"/>
          <w:color w:val="auto"/>
          <w:highlight w:val="none"/>
        </w:rPr>
        <w:t>，构成</w:t>
      </w:r>
      <w:r>
        <w:rPr>
          <w:rFonts w:hint="eastAsia" w:ascii="Times New Roman" w:hAnsi="Times New Roman"/>
          <w:color w:val="auto"/>
          <w:highlight w:val="none"/>
        </w:rPr>
        <w:t>响应文件</w:t>
      </w:r>
      <w:r>
        <w:rPr>
          <w:rFonts w:ascii="Times New Roman" w:hAnsi="Times New Roman"/>
          <w:color w:val="auto"/>
          <w:highlight w:val="none"/>
        </w:rPr>
        <w:t>的组成部分。</w:t>
      </w:r>
    </w:p>
    <w:p>
      <w:pPr>
        <w:spacing w:line="400" w:lineRule="exact"/>
        <w:ind w:firstLine="359" w:firstLineChars="171"/>
        <w:rPr>
          <w:rFonts w:ascii="Times New Roman" w:hAnsi="Times New Roman"/>
          <w:color w:val="auto"/>
          <w:highlight w:val="none"/>
        </w:rPr>
      </w:pPr>
      <w:r>
        <w:rPr>
          <w:rFonts w:ascii="Times New Roman" w:hAnsi="Times New Roman"/>
          <w:color w:val="auto"/>
          <w:highlight w:val="none"/>
        </w:rPr>
        <w:t xml:space="preserve">3.1.2 </w:t>
      </w:r>
      <w:r>
        <w:rPr>
          <w:rFonts w:hint="eastAsia" w:ascii="Times New Roman" w:hAnsi="Times New Roman"/>
          <w:color w:val="auto"/>
          <w:highlight w:val="none"/>
        </w:rPr>
        <w:t>供应商的法定代表人（单位负责人）亲自签署响应文件、亲自参加询比的，响应文件</w:t>
      </w:r>
      <w:r>
        <w:rPr>
          <w:rFonts w:ascii="Times New Roman" w:hAnsi="Times New Roman"/>
          <w:color w:val="auto"/>
          <w:highlight w:val="none"/>
        </w:rPr>
        <w:t>不包括第3.1.1（</w:t>
      </w:r>
      <w:r>
        <w:rPr>
          <w:rFonts w:hint="eastAsia" w:ascii="Times New Roman" w:hAnsi="Times New Roman"/>
          <w:color w:val="auto"/>
          <w:highlight w:val="none"/>
        </w:rPr>
        <w:t>2</w:t>
      </w:r>
      <w:r>
        <w:rPr>
          <w:rFonts w:ascii="Times New Roman" w:hAnsi="Times New Roman"/>
          <w:color w:val="auto"/>
          <w:highlight w:val="none"/>
        </w:rPr>
        <w:t>）目所指的授权委托书</w:t>
      </w:r>
      <w:r>
        <w:rPr>
          <w:rFonts w:hint="eastAsia" w:ascii="Times New Roman" w:hAnsi="Times New Roman"/>
          <w:color w:val="auto"/>
          <w:highlight w:val="none"/>
        </w:rPr>
        <w:t>；第一章“询比采购公告/询比采购邀请书”规定不接受联合体的</w:t>
      </w:r>
      <w:r>
        <w:rPr>
          <w:rFonts w:ascii="Times New Roman" w:hAnsi="Times New Roman"/>
          <w:color w:val="auto"/>
          <w:highlight w:val="none"/>
        </w:rPr>
        <w:t>，或</w:t>
      </w:r>
      <w:r>
        <w:rPr>
          <w:rFonts w:hint="eastAsia" w:ascii="Times New Roman" w:hAnsi="Times New Roman"/>
          <w:color w:val="auto"/>
          <w:highlight w:val="none"/>
        </w:rPr>
        <w:t>供应商</w:t>
      </w:r>
      <w:r>
        <w:rPr>
          <w:rFonts w:ascii="Times New Roman" w:hAnsi="Times New Roman"/>
          <w:color w:val="auto"/>
          <w:highlight w:val="none"/>
        </w:rPr>
        <w:t>没有组成联合体的，</w:t>
      </w:r>
      <w:r>
        <w:rPr>
          <w:rFonts w:hint="eastAsia" w:ascii="Times New Roman" w:hAnsi="Times New Roman"/>
          <w:color w:val="auto"/>
          <w:highlight w:val="none"/>
        </w:rPr>
        <w:t>响应文件</w:t>
      </w:r>
      <w:r>
        <w:rPr>
          <w:rFonts w:ascii="Times New Roman" w:hAnsi="Times New Roman"/>
          <w:color w:val="auto"/>
          <w:highlight w:val="none"/>
        </w:rPr>
        <w:t>不包括第3.1.1（3）目所指的联合体协议书。</w:t>
      </w:r>
      <w:r>
        <w:rPr>
          <w:rFonts w:hint="eastAsia" w:ascii="Times New Roman" w:hAnsi="Times New Roman"/>
          <w:color w:val="auto"/>
          <w:highlight w:val="none"/>
        </w:rPr>
        <w:t>供应商</w:t>
      </w:r>
      <w:r>
        <w:rPr>
          <w:rFonts w:ascii="Times New Roman" w:hAnsi="Times New Roman"/>
          <w:color w:val="auto"/>
          <w:highlight w:val="none"/>
        </w:rPr>
        <w:t>须知前附表未要求</w:t>
      </w:r>
      <w:r>
        <w:rPr>
          <w:rFonts w:hint="eastAsia" w:ascii="Times New Roman" w:hAnsi="Times New Roman"/>
          <w:color w:val="auto"/>
          <w:highlight w:val="none"/>
        </w:rPr>
        <w:t>供应商递交响应保证金</w:t>
      </w:r>
      <w:r>
        <w:rPr>
          <w:rFonts w:ascii="Times New Roman" w:hAnsi="Times New Roman"/>
          <w:color w:val="auto"/>
          <w:highlight w:val="none"/>
        </w:rPr>
        <w:t>的，</w:t>
      </w:r>
      <w:r>
        <w:rPr>
          <w:rFonts w:hint="eastAsia" w:ascii="Times New Roman" w:hAnsi="Times New Roman"/>
          <w:color w:val="auto"/>
          <w:highlight w:val="none"/>
        </w:rPr>
        <w:t>响应文件</w:t>
      </w:r>
      <w:r>
        <w:rPr>
          <w:rFonts w:ascii="Times New Roman" w:hAnsi="Times New Roman"/>
          <w:color w:val="auto"/>
          <w:highlight w:val="none"/>
        </w:rPr>
        <w:t>不包括第3.1.1（4）目所指的</w:t>
      </w:r>
      <w:r>
        <w:rPr>
          <w:rFonts w:hint="eastAsia" w:ascii="Times New Roman" w:hAnsi="Times New Roman"/>
          <w:color w:val="auto"/>
          <w:highlight w:val="none"/>
        </w:rPr>
        <w:t>响应保证金</w:t>
      </w:r>
      <w:r>
        <w:rPr>
          <w:rFonts w:ascii="Times New Roman" w:hAnsi="Times New Roman"/>
          <w:color w:val="auto"/>
          <w:highlight w:val="none"/>
        </w:rPr>
        <w:t>。</w:t>
      </w:r>
    </w:p>
    <w:p>
      <w:pPr>
        <w:pStyle w:val="4"/>
        <w:spacing w:line="240" w:lineRule="auto"/>
        <w:ind w:firstLine="137"/>
        <w:rPr>
          <w:rFonts w:ascii="Times New Roman" w:hAnsi="Times New Roman"/>
          <w:color w:val="auto"/>
          <w:highlight w:val="none"/>
        </w:rPr>
      </w:pPr>
      <w:bookmarkStart w:id="131" w:name="_Toc501460669"/>
      <w:bookmarkStart w:id="132" w:name="_Toc17438"/>
      <w:r>
        <w:rPr>
          <w:rFonts w:ascii="Times New Roman" w:hAnsi="Times New Roman"/>
          <w:color w:val="auto"/>
          <w:highlight w:val="none"/>
        </w:rPr>
        <w:t>3.2 报价</w:t>
      </w:r>
      <w:bookmarkEnd w:id="131"/>
      <w:bookmarkEnd w:id="132"/>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3.2.1</w:t>
      </w:r>
      <w:r>
        <w:rPr>
          <w:rFonts w:hint="eastAsia" w:ascii="Times New Roman" w:hAnsi="Times New Roman"/>
          <w:color w:val="auto"/>
          <w:highlight w:val="none"/>
        </w:rPr>
        <w:t xml:space="preserve"> 供应商应按采购文件提供的格式（见第六章“响应文件格式”）在响应函和报价表中进行</w:t>
      </w:r>
      <w:r>
        <w:rPr>
          <w:rFonts w:ascii="Times New Roman" w:hAnsi="Times New Roman"/>
          <w:color w:val="auto"/>
          <w:highlight w:val="none"/>
        </w:rPr>
        <w:t>报价</w:t>
      </w:r>
      <w:r>
        <w:rPr>
          <w:rFonts w:hint="eastAsia" w:ascii="Times New Roman" w:hAnsi="Times New Roman"/>
          <w:color w:val="auto"/>
          <w:highlight w:val="none"/>
        </w:rPr>
        <w:t>。响应函中</w:t>
      </w:r>
      <w:r>
        <w:rPr>
          <w:rFonts w:ascii="Times New Roman" w:hAnsi="Times New Roman"/>
          <w:color w:val="auto"/>
          <w:highlight w:val="none"/>
        </w:rPr>
        <w:t>报价应</w:t>
      </w:r>
      <w:r>
        <w:rPr>
          <w:rFonts w:hint="eastAsia" w:ascii="Times New Roman" w:hAnsi="Times New Roman"/>
          <w:color w:val="auto"/>
          <w:highlight w:val="none"/>
        </w:rPr>
        <w:t>为包含</w:t>
      </w:r>
      <w:r>
        <w:rPr>
          <w:rFonts w:ascii="Times New Roman" w:hAnsi="Times New Roman"/>
          <w:color w:val="auto"/>
          <w:highlight w:val="none"/>
        </w:rPr>
        <w:t>国家规定的增值税</w:t>
      </w:r>
      <w:r>
        <w:rPr>
          <w:rFonts w:hint="eastAsia" w:ascii="Times New Roman" w:hAnsi="Times New Roman"/>
          <w:color w:val="auto"/>
          <w:highlight w:val="none"/>
        </w:rPr>
        <w:t>在内的含税价格，同时应列明不含税价格和增值税税额。采购人将根据项目情况，在第三章“评审办法”第2.2.2项中选择按照含税价格或不含税价格对供应商进行价格评审。</w:t>
      </w:r>
    </w:p>
    <w:p>
      <w:pPr>
        <w:spacing w:line="400" w:lineRule="exact"/>
        <w:ind w:firstLine="420" w:firstLineChars="200"/>
        <w:rPr>
          <w:rFonts w:ascii="宋体" w:hAnsi="宋体"/>
          <w:color w:val="auto"/>
          <w:szCs w:val="21"/>
          <w:highlight w:val="none"/>
        </w:rPr>
      </w:pPr>
      <w:r>
        <w:rPr>
          <w:rFonts w:ascii="Times New Roman" w:hAnsi="Times New Roman"/>
          <w:color w:val="auto"/>
          <w:highlight w:val="none"/>
        </w:rPr>
        <w:t>3.2.2</w:t>
      </w:r>
      <w:r>
        <w:rPr>
          <w:rFonts w:hint="eastAsia" w:ascii="Times New Roman" w:hAnsi="Times New Roman"/>
          <w:color w:val="auto"/>
          <w:highlight w:val="none"/>
        </w:rPr>
        <w:t xml:space="preserve"> 供应商</w:t>
      </w:r>
      <w:r>
        <w:rPr>
          <w:rFonts w:ascii="Times New Roman" w:hAnsi="Times New Roman"/>
          <w:color w:val="auto"/>
          <w:highlight w:val="none"/>
        </w:rPr>
        <w:t>应充分了解</w:t>
      </w:r>
      <w:r>
        <w:rPr>
          <w:rFonts w:hint="eastAsia" w:ascii="Times New Roman" w:hAnsi="Times New Roman"/>
          <w:color w:val="auto"/>
          <w:highlight w:val="none"/>
        </w:rPr>
        <w:t>采购</w:t>
      </w:r>
      <w:r>
        <w:rPr>
          <w:rFonts w:ascii="Times New Roman" w:hAnsi="Times New Roman"/>
          <w:color w:val="auto"/>
          <w:highlight w:val="none"/>
        </w:rPr>
        <w:t>项目的总体情况以及影响报价的其他要素。</w:t>
      </w:r>
      <w:r>
        <w:rPr>
          <w:rFonts w:hint="eastAsia" w:ascii="Times New Roman" w:hAnsi="Times New Roman"/>
          <w:color w:val="auto"/>
          <w:highlight w:val="none"/>
        </w:rPr>
        <w:t>对于货物和服务采购项目，</w:t>
      </w:r>
      <w:r>
        <w:rPr>
          <w:rFonts w:hint="eastAsia" w:ascii="宋体" w:hAnsi="宋体"/>
          <w:color w:val="auto"/>
          <w:szCs w:val="21"/>
          <w:highlight w:val="none"/>
        </w:rPr>
        <w:t>采购人在签署成交合同时及合同履行过程中，有权在</w:t>
      </w:r>
      <w:r>
        <w:rPr>
          <w:rFonts w:hint="eastAsia" w:ascii="黑体" w:hAnsi="黑体" w:eastAsia="黑体" w:cs="黑体"/>
          <w:iCs/>
          <w:color w:val="auto"/>
          <w:highlight w:val="none"/>
        </w:rPr>
        <w:t>供应商须知前附表</w:t>
      </w:r>
      <w:r>
        <w:rPr>
          <w:rFonts w:hint="eastAsia" w:ascii="宋体" w:hAnsi="宋体"/>
          <w:color w:val="auto"/>
          <w:szCs w:val="21"/>
          <w:highlight w:val="none"/>
        </w:rPr>
        <w:t>规定的幅度内</w:t>
      </w:r>
      <w:r>
        <w:rPr>
          <w:rFonts w:hint="eastAsia" w:ascii="Times New Roman" w:hAnsi="Times New Roman"/>
          <w:color w:val="auto"/>
          <w:highlight w:val="none"/>
        </w:rPr>
        <w:t>对采购标的的数量进行</w:t>
      </w:r>
      <w:r>
        <w:rPr>
          <w:rFonts w:hint="eastAsia" w:ascii="宋体" w:hAnsi="宋体"/>
          <w:color w:val="auto"/>
          <w:szCs w:val="21"/>
          <w:highlight w:val="none"/>
        </w:rPr>
        <w:t>增加或减少。</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3.2.</w:t>
      </w:r>
      <w:r>
        <w:rPr>
          <w:rFonts w:hint="eastAsia" w:ascii="Times New Roman" w:hAnsi="Times New Roman"/>
          <w:color w:val="auto"/>
          <w:highlight w:val="none"/>
        </w:rPr>
        <w:t>3 采购人</w:t>
      </w:r>
      <w:r>
        <w:rPr>
          <w:rFonts w:ascii="Times New Roman" w:hAnsi="Times New Roman"/>
          <w:color w:val="auto"/>
          <w:highlight w:val="none"/>
        </w:rPr>
        <w:t>设有最高限价的，</w:t>
      </w:r>
      <w:r>
        <w:rPr>
          <w:rFonts w:hint="eastAsia" w:ascii="Times New Roman" w:hAnsi="Times New Roman"/>
          <w:color w:val="auto"/>
          <w:highlight w:val="none"/>
        </w:rPr>
        <w:t>供应商</w:t>
      </w:r>
      <w:r>
        <w:rPr>
          <w:rFonts w:ascii="Times New Roman" w:hAnsi="Times New Roman"/>
          <w:color w:val="auto"/>
          <w:highlight w:val="none"/>
        </w:rPr>
        <w:t>的报价不得超过最高限价</w:t>
      </w:r>
      <w:r>
        <w:rPr>
          <w:rFonts w:hint="eastAsia" w:ascii="Times New Roman" w:hAnsi="Times New Roman"/>
          <w:color w:val="auto"/>
          <w:highlight w:val="none"/>
        </w:rPr>
        <w:t>。</w:t>
      </w:r>
      <w:r>
        <w:rPr>
          <w:rFonts w:ascii="Times New Roman" w:hAnsi="Times New Roman"/>
          <w:color w:val="auto"/>
          <w:highlight w:val="none"/>
        </w:rPr>
        <w:t>最高限价</w:t>
      </w:r>
      <w:r>
        <w:rPr>
          <w:rFonts w:hint="eastAsia" w:ascii="Times New Roman" w:hAnsi="Times New Roman"/>
          <w:color w:val="auto"/>
          <w:highlight w:val="none"/>
        </w:rPr>
        <w:t>或最高限价计算方法</w:t>
      </w:r>
      <w:r>
        <w:rPr>
          <w:rFonts w:ascii="Times New Roman" w:hAnsi="Times New Roman"/>
          <w:color w:val="auto"/>
          <w:highlight w:val="none"/>
        </w:rPr>
        <w:t>在</w:t>
      </w:r>
      <w:bookmarkStart w:id="133" w:name="_Toc152042320"/>
      <w:bookmarkStart w:id="134" w:name="_Toc10429"/>
      <w:bookmarkStart w:id="135" w:name="_Toc300834965"/>
      <w:bookmarkStart w:id="136" w:name="_Toc144974512"/>
      <w:bookmarkStart w:id="137" w:name="_Toc369531531"/>
      <w:bookmarkStart w:id="138" w:name="_Toc361508600"/>
      <w:bookmarkStart w:id="139" w:name="_Toc247513968"/>
      <w:bookmarkStart w:id="140" w:name="_Toc384308225"/>
      <w:bookmarkStart w:id="141" w:name="_Toc247527569"/>
      <w:bookmarkStart w:id="142" w:name="_Toc352691488"/>
      <w:bookmarkStart w:id="143" w:name="_Toc152045544"/>
      <w:r>
        <w:rPr>
          <w:rFonts w:hint="eastAsia" w:ascii="黑体" w:hAnsi="黑体" w:eastAsia="黑体" w:cs="黑体"/>
          <w:iCs/>
          <w:color w:val="auto"/>
          <w:highlight w:val="none"/>
        </w:rPr>
        <w:t>供应商须知前附表</w:t>
      </w:r>
      <w:r>
        <w:rPr>
          <w:rFonts w:ascii="Times New Roman" w:hAnsi="Times New Roman"/>
          <w:color w:val="auto"/>
          <w:highlight w:val="none"/>
        </w:rPr>
        <w:t>中载明。</w:t>
      </w:r>
      <w:bookmarkEnd w:id="133"/>
      <w:bookmarkEnd w:id="134"/>
      <w:bookmarkEnd w:id="135"/>
      <w:bookmarkEnd w:id="136"/>
      <w:bookmarkEnd w:id="137"/>
      <w:bookmarkEnd w:id="138"/>
      <w:bookmarkEnd w:id="139"/>
      <w:bookmarkEnd w:id="140"/>
      <w:bookmarkEnd w:id="141"/>
      <w:bookmarkEnd w:id="142"/>
      <w:bookmarkEnd w:id="143"/>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 xml:space="preserve">3.2.4 </w:t>
      </w:r>
      <w:r>
        <w:rPr>
          <w:rFonts w:ascii="Times New Roman" w:hAnsi="Times New Roman"/>
          <w:color w:val="auto"/>
          <w:highlight w:val="none"/>
        </w:rPr>
        <w:t>报价的其他要求见</w:t>
      </w:r>
      <w:r>
        <w:rPr>
          <w:rFonts w:hint="eastAsia" w:ascii="黑体" w:hAnsi="黑体" w:eastAsia="黑体" w:cs="黑体"/>
          <w:iCs/>
          <w:color w:val="auto"/>
          <w:highlight w:val="none"/>
        </w:rPr>
        <w:t>供应商须知前附表</w:t>
      </w:r>
      <w:r>
        <w:rPr>
          <w:rFonts w:ascii="Times New Roman" w:hAnsi="Times New Roman"/>
          <w:color w:val="auto"/>
          <w:highlight w:val="none"/>
        </w:rPr>
        <w:t>。</w:t>
      </w:r>
    </w:p>
    <w:p>
      <w:pPr>
        <w:pStyle w:val="4"/>
        <w:spacing w:line="240" w:lineRule="auto"/>
        <w:ind w:firstLine="137"/>
        <w:rPr>
          <w:rFonts w:ascii="Times New Roman" w:hAnsi="Times New Roman"/>
          <w:color w:val="auto"/>
          <w:highlight w:val="none"/>
        </w:rPr>
      </w:pPr>
      <w:bookmarkStart w:id="144" w:name="_Toc501460670"/>
      <w:bookmarkStart w:id="145" w:name="_Toc16838"/>
      <w:r>
        <w:rPr>
          <w:rFonts w:ascii="Times New Roman" w:hAnsi="Times New Roman"/>
          <w:color w:val="auto"/>
          <w:highlight w:val="none"/>
        </w:rPr>
        <w:t xml:space="preserve">3.3 </w:t>
      </w:r>
      <w:r>
        <w:rPr>
          <w:rFonts w:hint="eastAsia" w:ascii="Times New Roman" w:hAnsi="Times New Roman"/>
          <w:color w:val="auto"/>
          <w:highlight w:val="none"/>
        </w:rPr>
        <w:t>响应文件</w:t>
      </w:r>
      <w:r>
        <w:rPr>
          <w:rFonts w:ascii="Times New Roman" w:hAnsi="Times New Roman"/>
          <w:color w:val="auto"/>
          <w:highlight w:val="none"/>
        </w:rPr>
        <w:t>有效期</w:t>
      </w:r>
      <w:bookmarkEnd w:id="144"/>
      <w:bookmarkEnd w:id="145"/>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3.3.1 除</w:t>
      </w:r>
      <w:r>
        <w:rPr>
          <w:rFonts w:hint="eastAsia" w:ascii="黑体" w:hAnsi="黑体" w:eastAsia="黑体" w:cs="黑体"/>
          <w:iCs/>
          <w:color w:val="auto"/>
          <w:highlight w:val="none"/>
        </w:rPr>
        <w:t>供应商须知前附表</w:t>
      </w:r>
      <w:r>
        <w:rPr>
          <w:rFonts w:ascii="Times New Roman" w:hAnsi="Times New Roman"/>
          <w:color w:val="auto"/>
          <w:highlight w:val="none"/>
        </w:rPr>
        <w:t>另有规定外，</w:t>
      </w:r>
      <w:r>
        <w:rPr>
          <w:rFonts w:hint="eastAsia" w:ascii="Times New Roman" w:hAnsi="Times New Roman"/>
          <w:color w:val="auto"/>
          <w:highlight w:val="none"/>
        </w:rPr>
        <w:t>响应文件</w:t>
      </w:r>
      <w:r>
        <w:rPr>
          <w:rFonts w:ascii="Times New Roman" w:hAnsi="Times New Roman"/>
          <w:color w:val="auto"/>
          <w:highlight w:val="none"/>
        </w:rPr>
        <w:t>有效期</w:t>
      </w:r>
      <w:r>
        <w:rPr>
          <w:rFonts w:hint="eastAsia" w:ascii="Times New Roman" w:hAnsi="Times New Roman"/>
          <w:color w:val="auto"/>
          <w:highlight w:val="none"/>
        </w:rPr>
        <w:t>应</w:t>
      </w:r>
      <w:r>
        <w:rPr>
          <w:rFonts w:ascii="Times New Roman" w:hAnsi="Times New Roman"/>
          <w:color w:val="auto"/>
          <w:highlight w:val="none"/>
        </w:rPr>
        <w:t>为90</w:t>
      </w:r>
      <w:r>
        <w:rPr>
          <w:rFonts w:hint="eastAsia" w:ascii="Times New Roman" w:hAnsi="Times New Roman"/>
          <w:color w:val="auto"/>
          <w:highlight w:val="none"/>
        </w:rPr>
        <w:t>日，从采购文件规定的递交响应文件的截止时间开始计算</w:t>
      </w:r>
      <w:r>
        <w:rPr>
          <w:rFonts w:ascii="Times New Roman" w:hAnsi="Times New Roman"/>
          <w:color w:val="auto"/>
          <w:highlight w:val="none"/>
        </w:rPr>
        <w:t>。</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3.3.2 出现特殊情况需要延长</w:t>
      </w:r>
      <w:r>
        <w:rPr>
          <w:rFonts w:hint="eastAsia" w:ascii="Times New Roman" w:hAnsi="Times New Roman"/>
          <w:color w:val="auto"/>
          <w:highlight w:val="none"/>
        </w:rPr>
        <w:t>响应文件有效期</w:t>
      </w:r>
      <w:r>
        <w:rPr>
          <w:rFonts w:ascii="Times New Roman" w:hAnsi="Times New Roman"/>
          <w:color w:val="auto"/>
          <w:highlight w:val="none"/>
        </w:rPr>
        <w:t>的，</w:t>
      </w:r>
      <w:r>
        <w:rPr>
          <w:rFonts w:hint="eastAsia" w:ascii="Times New Roman" w:hAnsi="Times New Roman"/>
          <w:color w:val="auto"/>
          <w:highlight w:val="none"/>
        </w:rPr>
        <w:t>采购人</w:t>
      </w:r>
      <w:r>
        <w:rPr>
          <w:rFonts w:ascii="Times New Roman" w:hAnsi="Times New Roman"/>
          <w:color w:val="auto"/>
          <w:highlight w:val="none"/>
        </w:rPr>
        <w:t>以书面形式通知所有</w:t>
      </w:r>
      <w:r>
        <w:rPr>
          <w:rFonts w:hint="eastAsia" w:ascii="Times New Roman" w:hAnsi="Times New Roman"/>
          <w:color w:val="auto"/>
          <w:highlight w:val="none"/>
        </w:rPr>
        <w:t>供应商</w:t>
      </w:r>
      <w:r>
        <w:rPr>
          <w:rFonts w:ascii="Times New Roman" w:hAnsi="Times New Roman"/>
          <w:color w:val="auto"/>
          <w:highlight w:val="none"/>
        </w:rPr>
        <w:t>延长</w:t>
      </w:r>
      <w:r>
        <w:rPr>
          <w:rFonts w:hint="eastAsia" w:ascii="Times New Roman" w:hAnsi="Times New Roman"/>
          <w:color w:val="auto"/>
          <w:highlight w:val="none"/>
        </w:rPr>
        <w:t>响应文件有效期</w:t>
      </w:r>
      <w:r>
        <w:rPr>
          <w:rFonts w:ascii="Times New Roman" w:hAnsi="Times New Roman"/>
          <w:color w:val="auto"/>
          <w:highlight w:val="none"/>
        </w:rPr>
        <w:t>。</w:t>
      </w:r>
      <w:r>
        <w:rPr>
          <w:rFonts w:hint="eastAsia" w:ascii="Times New Roman" w:hAnsi="Times New Roman"/>
          <w:color w:val="auto"/>
          <w:highlight w:val="none"/>
        </w:rPr>
        <w:t>供应商应予以书面答复。同意延长的，应相应延长其响应保证金的有效期，但不得修改</w:t>
      </w:r>
      <w:r>
        <w:rPr>
          <w:rFonts w:ascii="Times New Roman" w:hAnsi="Times New Roman"/>
          <w:color w:val="auto"/>
          <w:highlight w:val="none"/>
        </w:rPr>
        <w:t>其</w:t>
      </w:r>
      <w:r>
        <w:rPr>
          <w:rFonts w:hint="eastAsia" w:ascii="Times New Roman" w:hAnsi="Times New Roman"/>
          <w:color w:val="auto"/>
          <w:highlight w:val="none"/>
        </w:rPr>
        <w:t>响应文件</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拒绝延长的，其</w:t>
      </w:r>
      <w:r>
        <w:rPr>
          <w:rFonts w:hint="eastAsia" w:ascii="Times New Roman" w:hAnsi="Times New Roman"/>
          <w:color w:val="auto"/>
          <w:highlight w:val="none"/>
        </w:rPr>
        <w:t>响应文件在原有效期届满后</w:t>
      </w:r>
      <w:r>
        <w:rPr>
          <w:rFonts w:ascii="Times New Roman" w:hAnsi="Times New Roman"/>
          <w:color w:val="auto"/>
          <w:highlight w:val="none"/>
        </w:rPr>
        <w:t>失效，但</w:t>
      </w:r>
      <w:r>
        <w:rPr>
          <w:rFonts w:hint="eastAsia" w:ascii="Times New Roman" w:hAnsi="Times New Roman"/>
          <w:color w:val="auto"/>
          <w:highlight w:val="none"/>
        </w:rPr>
        <w:t>供应商</w:t>
      </w:r>
      <w:r>
        <w:rPr>
          <w:rFonts w:ascii="Times New Roman" w:hAnsi="Times New Roman"/>
          <w:color w:val="auto"/>
          <w:highlight w:val="none"/>
        </w:rPr>
        <w:t>有权收回其</w:t>
      </w:r>
      <w:r>
        <w:rPr>
          <w:rFonts w:hint="eastAsia" w:ascii="Times New Roman" w:hAnsi="Times New Roman"/>
          <w:color w:val="auto"/>
          <w:highlight w:val="none"/>
        </w:rPr>
        <w:t>响应保证金</w:t>
      </w:r>
      <w:r>
        <w:rPr>
          <w:rFonts w:ascii="Times New Roman" w:hAnsi="Times New Roman"/>
          <w:color w:val="auto"/>
          <w:highlight w:val="none"/>
        </w:rPr>
        <w:t>。</w:t>
      </w:r>
    </w:p>
    <w:p>
      <w:pPr>
        <w:pStyle w:val="4"/>
        <w:spacing w:line="240" w:lineRule="auto"/>
        <w:ind w:firstLine="137"/>
        <w:rPr>
          <w:rFonts w:ascii="Times New Roman" w:hAnsi="Times New Roman"/>
          <w:color w:val="auto"/>
          <w:highlight w:val="none"/>
        </w:rPr>
      </w:pPr>
      <w:bookmarkStart w:id="146" w:name="_Toc501460673"/>
      <w:bookmarkStart w:id="147" w:name="_Toc16462"/>
      <w:r>
        <w:rPr>
          <w:rFonts w:ascii="Times New Roman" w:hAnsi="Times New Roman"/>
          <w:color w:val="auto"/>
          <w:highlight w:val="none"/>
        </w:rPr>
        <w:t>3.</w:t>
      </w:r>
      <w:r>
        <w:rPr>
          <w:rFonts w:hint="eastAsia" w:ascii="Times New Roman" w:hAnsi="Times New Roman"/>
          <w:color w:val="auto"/>
          <w:highlight w:val="none"/>
          <w:lang w:val="en-US" w:eastAsia="zh-CN"/>
        </w:rPr>
        <w:t>4</w:t>
      </w:r>
      <w:r>
        <w:rPr>
          <w:rFonts w:ascii="Times New Roman" w:hAnsi="Times New Roman"/>
          <w:color w:val="auto"/>
          <w:highlight w:val="none"/>
        </w:rPr>
        <w:t xml:space="preserve"> 资格审查资料</w:t>
      </w:r>
      <w:bookmarkEnd w:id="146"/>
      <w:bookmarkEnd w:id="147"/>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应</w:t>
      </w:r>
      <w:r>
        <w:rPr>
          <w:rFonts w:hint="eastAsia" w:ascii="Times New Roman" w:hAnsi="Times New Roman"/>
          <w:color w:val="auto"/>
          <w:highlight w:val="none"/>
        </w:rPr>
        <w:t>提供</w:t>
      </w:r>
      <w:r>
        <w:rPr>
          <w:rFonts w:hint="eastAsia" w:ascii="黑体" w:hAnsi="黑体" w:eastAsia="黑体" w:cs="黑体"/>
          <w:iCs/>
          <w:color w:val="auto"/>
          <w:highlight w:val="none"/>
        </w:rPr>
        <w:t>供应商须知前附表3.</w:t>
      </w:r>
      <w:r>
        <w:rPr>
          <w:rFonts w:hint="eastAsia" w:ascii="黑体" w:hAnsi="黑体" w:eastAsia="黑体" w:cs="黑体"/>
          <w:iCs/>
          <w:color w:val="auto"/>
          <w:highlight w:val="none"/>
          <w:lang w:val="en-US" w:eastAsia="zh-CN"/>
        </w:rPr>
        <w:t>4</w:t>
      </w:r>
      <w:r>
        <w:rPr>
          <w:rFonts w:hint="eastAsia" w:ascii="黑体" w:hAnsi="黑体" w:eastAsia="黑体" w:cs="黑体"/>
          <w:iCs/>
          <w:color w:val="auto"/>
          <w:highlight w:val="none"/>
        </w:rPr>
        <w:t>（1）-3.</w:t>
      </w:r>
      <w:r>
        <w:rPr>
          <w:rFonts w:hint="eastAsia" w:ascii="黑体" w:hAnsi="黑体" w:eastAsia="黑体" w:cs="黑体"/>
          <w:iCs/>
          <w:color w:val="auto"/>
          <w:highlight w:val="none"/>
          <w:lang w:val="en-US" w:eastAsia="zh-CN"/>
        </w:rPr>
        <w:t>4</w:t>
      </w:r>
      <w:r>
        <w:rPr>
          <w:rFonts w:hint="eastAsia" w:ascii="黑体" w:hAnsi="黑体" w:eastAsia="黑体" w:cs="黑体"/>
          <w:iCs/>
          <w:color w:val="auto"/>
          <w:highlight w:val="none"/>
        </w:rPr>
        <w:t>（9）中</w:t>
      </w:r>
      <w:r>
        <w:rPr>
          <w:rFonts w:ascii="Times New Roman" w:hAnsi="Times New Roman"/>
          <w:color w:val="auto"/>
          <w:highlight w:val="none"/>
        </w:rPr>
        <w:t>规定</w:t>
      </w:r>
      <w:r>
        <w:rPr>
          <w:rFonts w:hint="eastAsia" w:ascii="Times New Roman" w:hAnsi="Times New Roman"/>
          <w:color w:val="auto"/>
          <w:highlight w:val="none"/>
        </w:rPr>
        <w:t>的</w:t>
      </w:r>
      <w:r>
        <w:rPr>
          <w:rFonts w:ascii="Times New Roman" w:hAnsi="Times New Roman"/>
          <w:color w:val="auto"/>
          <w:highlight w:val="none"/>
        </w:rPr>
        <w:t>资格审查资料，以证明其满足</w:t>
      </w:r>
      <w:r>
        <w:rPr>
          <w:rFonts w:hint="eastAsia" w:ascii="Times New Roman" w:hAnsi="Times New Roman"/>
          <w:color w:val="auto"/>
          <w:highlight w:val="none"/>
        </w:rPr>
        <w:t>第一章“询比采购公告/询比采购邀请书”对供应商</w:t>
      </w:r>
      <w:r>
        <w:rPr>
          <w:rFonts w:ascii="Times New Roman" w:hAnsi="Times New Roman"/>
          <w:color w:val="auto"/>
          <w:highlight w:val="none"/>
        </w:rPr>
        <w:t>的</w:t>
      </w:r>
      <w:r>
        <w:rPr>
          <w:rFonts w:hint="eastAsia" w:ascii="Times New Roman" w:hAnsi="Times New Roman"/>
          <w:color w:val="auto"/>
          <w:highlight w:val="none"/>
        </w:rPr>
        <w:t>各项资格</w:t>
      </w:r>
      <w:r>
        <w:rPr>
          <w:rFonts w:ascii="Times New Roman" w:hAnsi="Times New Roman"/>
          <w:color w:val="auto"/>
          <w:highlight w:val="none"/>
        </w:rPr>
        <w:t>要求。</w:t>
      </w:r>
    </w:p>
    <w:p>
      <w:pPr>
        <w:pStyle w:val="4"/>
        <w:spacing w:line="240" w:lineRule="auto"/>
        <w:ind w:firstLine="137"/>
        <w:rPr>
          <w:rFonts w:ascii="Times New Roman" w:hAnsi="Times New Roman"/>
          <w:color w:val="auto"/>
          <w:highlight w:val="none"/>
        </w:rPr>
      </w:pPr>
      <w:bookmarkStart w:id="148" w:name="_Toc501460674"/>
      <w:bookmarkStart w:id="149" w:name="_Toc24319"/>
      <w:r>
        <w:rPr>
          <w:rFonts w:ascii="Times New Roman" w:hAnsi="Times New Roman"/>
          <w:color w:val="auto"/>
          <w:highlight w:val="none"/>
        </w:rPr>
        <w:t>3.</w:t>
      </w:r>
      <w:bookmarkEnd w:id="148"/>
      <w:r>
        <w:rPr>
          <w:rFonts w:hint="eastAsia" w:ascii="Times New Roman" w:hAnsi="Times New Roman"/>
          <w:color w:val="auto"/>
          <w:highlight w:val="none"/>
          <w:lang w:val="en-US" w:eastAsia="zh-CN"/>
        </w:rPr>
        <w:t>5</w:t>
      </w:r>
      <w:r>
        <w:rPr>
          <w:rFonts w:ascii="Times New Roman" w:hAnsi="Times New Roman"/>
          <w:color w:val="auto"/>
          <w:highlight w:val="none"/>
        </w:rPr>
        <w:t xml:space="preserve"> </w:t>
      </w:r>
      <w:r>
        <w:rPr>
          <w:rFonts w:hint="eastAsia" w:ascii="Times New Roman" w:hAnsi="Times New Roman"/>
          <w:color w:val="auto"/>
          <w:highlight w:val="none"/>
        </w:rPr>
        <w:t>响应</w:t>
      </w:r>
      <w:r>
        <w:rPr>
          <w:rFonts w:ascii="Times New Roman" w:hAnsi="Times New Roman"/>
          <w:color w:val="auto"/>
          <w:highlight w:val="none"/>
        </w:rPr>
        <w:t>方案</w:t>
      </w:r>
      <w:bookmarkEnd w:id="149"/>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3.</w:t>
      </w:r>
      <w:r>
        <w:rPr>
          <w:rFonts w:hint="eastAsia" w:ascii="Times New Roman" w:hAnsi="Times New Roman"/>
          <w:color w:val="auto"/>
          <w:highlight w:val="none"/>
          <w:lang w:val="en-US" w:eastAsia="zh-CN"/>
        </w:rPr>
        <w:t>5.</w:t>
      </w:r>
      <w:r>
        <w:rPr>
          <w:rFonts w:hint="eastAsia" w:ascii="Times New Roman" w:hAnsi="Times New Roman"/>
          <w:color w:val="auto"/>
          <w:highlight w:val="none"/>
        </w:rPr>
        <w:t>1 响应文件</w:t>
      </w:r>
      <w:r>
        <w:rPr>
          <w:rFonts w:ascii="Times New Roman" w:hAnsi="Times New Roman"/>
          <w:color w:val="auto"/>
          <w:highlight w:val="none"/>
        </w:rPr>
        <w:t>应当对</w:t>
      </w:r>
      <w:r>
        <w:rPr>
          <w:rFonts w:hint="eastAsia" w:ascii="Times New Roman" w:hAnsi="Times New Roman"/>
          <w:color w:val="auto"/>
          <w:highlight w:val="none"/>
        </w:rPr>
        <w:t>采购文件中的</w:t>
      </w:r>
      <w:r>
        <w:rPr>
          <w:rFonts w:ascii="Times New Roman" w:hAnsi="Times New Roman"/>
          <w:color w:val="auto"/>
          <w:highlight w:val="none"/>
        </w:rPr>
        <w:t>实质性内容作出响应。</w:t>
      </w:r>
      <w:r>
        <w:rPr>
          <w:rFonts w:hint="eastAsia" w:ascii="Times New Roman" w:hAnsi="Times New Roman"/>
          <w:color w:val="auto"/>
          <w:highlight w:val="none"/>
        </w:rPr>
        <w:t>采购需求中明确为关键条款（标记“*”）的，供应商还应按照</w:t>
      </w:r>
      <w:r>
        <w:rPr>
          <w:rFonts w:hint="eastAsia" w:ascii="黑体" w:hAnsi="黑体" w:eastAsia="黑体" w:cs="黑体"/>
          <w:iCs/>
          <w:color w:val="auto"/>
          <w:highlight w:val="none"/>
        </w:rPr>
        <w:t>供应商须知前附表的规定</w:t>
      </w:r>
      <w:r>
        <w:rPr>
          <w:rFonts w:hint="eastAsia" w:ascii="Times New Roman" w:hAnsi="Times New Roman"/>
          <w:color w:val="auto"/>
          <w:highlight w:val="none"/>
        </w:rPr>
        <w:t>提供有关证据或证明材料。</w:t>
      </w:r>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3.</w:t>
      </w:r>
      <w:r>
        <w:rPr>
          <w:rFonts w:hint="eastAsia" w:ascii="Times New Roman" w:hAnsi="Times New Roman"/>
          <w:color w:val="auto"/>
          <w:highlight w:val="none"/>
          <w:lang w:val="en-US" w:eastAsia="zh-CN"/>
        </w:rPr>
        <w:t>5</w:t>
      </w:r>
      <w:r>
        <w:rPr>
          <w:rFonts w:hint="eastAsia" w:ascii="Times New Roman" w:hAnsi="Times New Roman"/>
          <w:color w:val="auto"/>
          <w:highlight w:val="none"/>
        </w:rPr>
        <w:t>.2供应商只能提出唯一的响应方案。供应商在响应文件中提出多个响应方案的，其响应文件将被视为无效。</w:t>
      </w:r>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3.</w:t>
      </w:r>
      <w:r>
        <w:rPr>
          <w:rFonts w:hint="eastAsia" w:ascii="Times New Roman" w:hAnsi="Times New Roman"/>
          <w:color w:val="auto"/>
          <w:highlight w:val="none"/>
          <w:lang w:val="en-US" w:eastAsia="zh-CN"/>
        </w:rPr>
        <w:t>5</w:t>
      </w: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 xml:space="preserve"> </w:t>
      </w:r>
      <w:r>
        <w:rPr>
          <w:rFonts w:hint="eastAsia" w:ascii="Times New Roman" w:hAnsi="Times New Roman"/>
          <w:color w:val="auto"/>
          <w:highlight w:val="none"/>
        </w:rPr>
        <w:t>响应文件</w:t>
      </w:r>
      <w:r>
        <w:rPr>
          <w:rFonts w:ascii="Times New Roman" w:hAnsi="Times New Roman"/>
          <w:color w:val="auto"/>
          <w:highlight w:val="none"/>
        </w:rPr>
        <w:t>对</w:t>
      </w:r>
      <w:r>
        <w:rPr>
          <w:rFonts w:hint="eastAsia" w:ascii="Times New Roman" w:hAnsi="Times New Roman"/>
          <w:color w:val="auto"/>
          <w:highlight w:val="none"/>
        </w:rPr>
        <w:t>采购文件</w:t>
      </w:r>
      <w:r>
        <w:rPr>
          <w:rFonts w:ascii="Times New Roman" w:hAnsi="Times New Roman"/>
          <w:color w:val="auto"/>
          <w:highlight w:val="none"/>
        </w:rPr>
        <w:t>的全部偏差，均应在</w:t>
      </w:r>
      <w:r>
        <w:rPr>
          <w:rFonts w:hint="eastAsia" w:ascii="Times New Roman" w:hAnsi="Times New Roman"/>
          <w:color w:val="auto"/>
          <w:highlight w:val="none"/>
        </w:rPr>
        <w:t>响应文件</w:t>
      </w:r>
      <w:r>
        <w:rPr>
          <w:rFonts w:ascii="Times New Roman" w:hAnsi="Times New Roman"/>
          <w:color w:val="auto"/>
          <w:highlight w:val="none"/>
        </w:rPr>
        <w:t>的</w:t>
      </w:r>
      <w:r>
        <w:rPr>
          <w:rFonts w:ascii="Times New Roman" w:hAnsi="Times New Roman"/>
          <w:color w:val="auto"/>
          <w:szCs w:val="21"/>
          <w:highlight w:val="none"/>
        </w:rPr>
        <w:t>商务和技术偏差表</w:t>
      </w:r>
      <w:r>
        <w:rPr>
          <w:rFonts w:ascii="Times New Roman" w:hAnsi="Times New Roman"/>
          <w:color w:val="auto"/>
          <w:highlight w:val="none"/>
        </w:rPr>
        <w:t>中列明</w:t>
      </w:r>
      <w:r>
        <w:rPr>
          <w:rFonts w:hint="eastAsia" w:ascii="Times New Roman" w:hAnsi="Times New Roman"/>
          <w:color w:val="auto"/>
          <w:highlight w:val="none"/>
        </w:rPr>
        <w:t>。响应文件偏差表中未列明的内容</w:t>
      </w:r>
      <w:r>
        <w:rPr>
          <w:rFonts w:ascii="Times New Roman" w:hAnsi="Times New Roman"/>
          <w:color w:val="auto"/>
          <w:highlight w:val="none"/>
        </w:rPr>
        <w:t>，</w:t>
      </w:r>
      <w:r>
        <w:rPr>
          <w:rFonts w:hint="eastAsia" w:ascii="Times New Roman" w:hAnsi="Times New Roman"/>
          <w:color w:val="auto"/>
          <w:highlight w:val="none"/>
        </w:rPr>
        <w:t>将</w:t>
      </w:r>
      <w:r>
        <w:rPr>
          <w:rFonts w:hint="eastAsia" w:ascii="Times New Roman" w:hAnsi="Times New Roman"/>
          <w:color w:val="auto"/>
          <w:szCs w:val="21"/>
          <w:highlight w:val="none"/>
        </w:rPr>
        <w:t>视为供应商响应采购文件的要求；</w:t>
      </w:r>
      <w:r>
        <w:rPr>
          <w:rFonts w:hint="eastAsia" w:ascii="Times New Roman" w:hAnsi="Times New Roman"/>
          <w:color w:val="auto"/>
          <w:highlight w:val="none"/>
        </w:rPr>
        <w:t>但如发现响应文件的其他部分与</w:t>
      </w:r>
      <w:r>
        <w:rPr>
          <w:rFonts w:ascii="Times New Roman" w:hAnsi="Times New Roman"/>
          <w:color w:val="auto"/>
          <w:highlight w:val="none"/>
        </w:rPr>
        <w:t>商务和技术偏差表</w:t>
      </w:r>
      <w:r>
        <w:rPr>
          <w:rFonts w:hint="eastAsia" w:ascii="Times New Roman" w:hAnsi="Times New Roman"/>
          <w:color w:val="auto"/>
          <w:highlight w:val="none"/>
        </w:rPr>
        <w:t>的描述不一致或供应商的响应缺乏支持性文件，则评审小组有权要求供应商对相关问题进行澄清，并根据澄清结果对供应商的响应文件进行评审。</w:t>
      </w:r>
    </w:p>
    <w:p>
      <w:pPr>
        <w:pStyle w:val="4"/>
        <w:spacing w:line="240" w:lineRule="auto"/>
        <w:ind w:firstLine="137"/>
        <w:rPr>
          <w:rFonts w:ascii="Times New Roman" w:hAnsi="Times New Roman"/>
          <w:color w:val="auto"/>
          <w:highlight w:val="none"/>
        </w:rPr>
      </w:pPr>
      <w:bookmarkStart w:id="150" w:name="_Toc501460675"/>
      <w:bookmarkStart w:id="151" w:name="_Toc12908"/>
      <w:r>
        <w:rPr>
          <w:rFonts w:ascii="Times New Roman" w:hAnsi="Times New Roman"/>
          <w:color w:val="auto"/>
          <w:highlight w:val="none"/>
        </w:rPr>
        <w:t>3.</w:t>
      </w:r>
      <w:r>
        <w:rPr>
          <w:rFonts w:hint="eastAsia" w:ascii="Times New Roman" w:hAnsi="Times New Roman"/>
          <w:color w:val="auto"/>
          <w:highlight w:val="none"/>
          <w:lang w:val="en-US" w:eastAsia="zh-CN"/>
        </w:rPr>
        <w:t>6</w:t>
      </w:r>
      <w:r>
        <w:rPr>
          <w:rFonts w:ascii="Times New Roman" w:hAnsi="Times New Roman"/>
          <w:color w:val="auto"/>
          <w:highlight w:val="none"/>
        </w:rPr>
        <w:t xml:space="preserve"> </w:t>
      </w:r>
      <w:r>
        <w:rPr>
          <w:rFonts w:hint="eastAsia" w:ascii="Times New Roman" w:hAnsi="Times New Roman"/>
          <w:color w:val="auto"/>
          <w:highlight w:val="none"/>
        </w:rPr>
        <w:t>响应文件</w:t>
      </w:r>
      <w:r>
        <w:rPr>
          <w:rFonts w:ascii="Times New Roman" w:hAnsi="Times New Roman"/>
          <w:color w:val="auto"/>
          <w:highlight w:val="none"/>
        </w:rPr>
        <w:t>的编制</w:t>
      </w:r>
      <w:bookmarkEnd w:id="150"/>
      <w:bookmarkEnd w:id="151"/>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lang w:val="en-US" w:eastAsia="zh-CN"/>
        </w:rPr>
        <w:t>.6</w:t>
      </w:r>
      <w:r>
        <w:rPr>
          <w:rFonts w:ascii="Times New Roman" w:hAnsi="Times New Roman"/>
          <w:color w:val="auto"/>
          <w:highlight w:val="none"/>
        </w:rPr>
        <w:t xml:space="preserve">.1 </w:t>
      </w:r>
      <w:r>
        <w:rPr>
          <w:rFonts w:hint="eastAsia" w:ascii="Times New Roman" w:hAnsi="Times New Roman"/>
          <w:color w:val="auto"/>
          <w:highlight w:val="none"/>
        </w:rPr>
        <w:t>响应文件</w:t>
      </w:r>
      <w:r>
        <w:rPr>
          <w:rFonts w:ascii="Times New Roman" w:hAnsi="Times New Roman"/>
          <w:color w:val="auto"/>
          <w:highlight w:val="none"/>
        </w:rPr>
        <w:t>应按第六章</w:t>
      </w:r>
      <w:r>
        <w:rPr>
          <w:rFonts w:hint="eastAsia" w:ascii="Times New Roman" w:hAnsi="Times New Roman"/>
          <w:color w:val="auto"/>
          <w:highlight w:val="none"/>
        </w:rPr>
        <w:t>“响应文件</w:t>
      </w:r>
      <w:r>
        <w:rPr>
          <w:rFonts w:ascii="Times New Roman" w:hAnsi="Times New Roman"/>
          <w:color w:val="auto"/>
          <w:highlight w:val="none"/>
        </w:rPr>
        <w:t>格式</w:t>
      </w:r>
      <w:r>
        <w:rPr>
          <w:rFonts w:hint="eastAsia" w:ascii="Times New Roman" w:hAnsi="Times New Roman"/>
          <w:color w:val="auto"/>
          <w:highlight w:val="none"/>
        </w:rPr>
        <w:t>”</w:t>
      </w:r>
      <w:r>
        <w:rPr>
          <w:rFonts w:ascii="Times New Roman" w:hAnsi="Times New Roman"/>
          <w:color w:val="auto"/>
          <w:highlight w:val="none"/>
        </w:rPr>
        <w:t>进行编写，如有必要，可以增加附页，作为</w:t>
      </w:r>
      <w:r>
        <w:rPr>
          <w:rFonts w:hint="eastAsia" w:ascii="Times New Roman" w:hAnsi="Times New Roman"/>
          <w:color w:val="auto"/>
          <w:highlight w:val="none"/>
        </w:rPr>
        <w:t>响应文件</w:t>
      </w:r>
      <w:r>
        <w:rPr>
          <w:rFonts w:ascii="Times New Roman" w:hAnsi="Times New Roman"/>
          <w:color w:val="auto"/>
          <w:highlight w:val="none"/>
        </w:rPr>
        <w:t>的组成部分。</w:t>
      </w:r>
    </w:p>
    <w:p>
      <w:pPr>
        <w:spacing w:line="400" w:lineRule="exact"/>
        <w:ind w:firstLine="420" w:firstLineChars="200"/>
        <w:rPr>
          <w:rFonts w:hint="eastAsia"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lang w:val="en-US" w:eastAsia="zh-CN"/>
        </w:rPr>
        <w:t>6</w:t>
      </w:r>
      <w:r>
        <w:rPr>
          <w:rFonts w:ascii="Times New Roman" w:hAnsi="Times New Roman"/>
          <w:color w:val="auto"/>
          <w:highlight w:val="none"/>
        </w:rPr>
        <w:t xml:space="preserve">.2 </w:t>
      </w:r>
      <w:r>
        <w:rPr>
          <w:rFonts w:hint="eastAsia" w:ascii="Times New Roman" w:hAnsi="Times New Roman"/>
          <w:color w:val="auto"/>
          <w:highlight w:val="none"/>
        </w:rPr>
        <w:t>（A）（1）响应文件应用不褪色的材料书写或打印，响应函以及对响应文件的澄清、说明和补正应由供应商的法定代表人（单位负责人）或其授权的代理人签字或盖单位章。由供应商的法定代表人（单位负责人）签字的，应附法定代表人（单位负责人）身份证明，由代理人签字的，应附授权委托书，身份证明或授权委托书应符合第六章“响应文件格式”的要求。响应文件应尽量避免涂改、行间插字或删除。如果出现上述情况，改动之处应由供应商的法定代表人（单位负责人）或其授权的代理人签字或盖单位章。响应文件签字或盖章的具体要求见供应商须知前附表。</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2）响应文件正本一份，副本份数见供应商须知前附表。正本和副本的封面右上角上应清楚地标记“正本”或“副本”的字样。供应商应根据供应商须知前附表要求提供电子版文件。当副本和正本不一致或电子版文件和纸质正本文件不一致时，以纸质正本文件为准。</w:t>
      </w:r>
    </w:p>
    <w:p>
      <w:pPr>
        <w:spacing w:line="400" w:lineRule="exact"/>
        <w:ind w:firstLine="420" w:firstLineChars="200"/>
        <w:rPr>
          <w:rFonts w:hint="eastAsia" w:ascii="Times New Roman" w:hAnsi="Times New Roman" w:eastAsia="宋体"/>
          <w:color w:val="auto"/>
          <w:highlight w:val="none"/>
          <w:lang w:val="en-US" w:eastAsia="zh-CN"/>
        </w:rPr>
      </w:pPr>
      <w:r>
        <w:rPr>
          <w:rFonts w:hint="eastAsia" w:ascii="Times New Roman" w:hAnsi="Times New Roman"/>
          <w:color w:val="auto"/>
          <w:highlight w:val="none"/>
        </w:rPr>
        <w:t>（3）响应文件的正本与副本应分别装订，并编制目录，响应文件需分册装订的，具体分册装订要求见供应商须知前附表规定。响应文件的装订应牢固、不易拆散和换页。</w:t>
      </w:r>
    </w:p>
    <w:p>
      <w:pPr>
        <w:pStyle w:val="3"/>
        <w:rPr>
          <w:rFonts w:ascii="Times New Roman" w:hAnsi="Times New Roman"/>
          <w:color w:val="auto"/>
          <w:highlight w:val="none"/>
        </w:rPr>
      </w:pPr>
      <w:bookmarkStart w:id="152" w:name="_Toc501460676"/>
      <w:bookmarkStart w:id="153" w:name="_Toc21337"/>
      <w:r>
        <w:rPr>
          <w:rFonts w:ascii="Times New Roman" w:hAnsi="Times New Roman"/>
          <w:color w:val="auto"/>
          <w:highlight w:val="none"/>
        </w:rPr>
        <w:t xml:space="preserve">4. </w:t>
      </w:r>
      <w:bookmarkEnd w:id="152"/>
      <w:r>
        <w:rPr>
          <w:rFonts w:hint="eastAsia" w:ascii="Times New Roman" w:hAnsi="Times New Roman"/>
          <w:color w:val="auto"/>
          <w:highlight w:val="none"/>
        </w:rPr>
        <w:t>响应文件的递交</w:t>
      </w:r>
      <w:bookmarkEnd w:id="153"/>
    </w:p>
    <w:p>
      <w:pPr>
        <w:pStyle w:val="4"/>
        <w:spacing w:line="240" w:lineRule="auto"/>
        <w:ind w:firstLine="137"/>
        <w:rPr>
          <w:rFonts w:ascii="Times New Roman" w:hAnsi="Times New Roman"/>
          <w:color w:val="auto"/>
          <w:highlight w:val="none"/>
        </w:rPr>
      </w:pPr>
      <w:bookmarkStart w:id="154" w:name="_Toc25061"/>
      <w:bookmarkStart w:id="155" w:name="_Toc501460677"/>
      <w:r>
        <w:rPr>
          <w:rFonts w:ascii="Times New Roman" w:hAnsi="Times New Roman"/>
          <w:color w:val="auto"/>
          <w:highlight w:val="none"/>
        </w:rPr>
        <w:t xml:space="preserve">4.1 </w:t>
      </w:r>
      <w:r>
        <w:rPr>
          <w:rFonts w:hint="eastAsia" w:ascii="Times New Roman" w:hAnsi="Times New Roman"/>
          <w:color w:val="auto"/>
          <w:highlight w:val="none"/>
        </w:rPr>
        <w:t>响应文件</w:t>
      </w:r>
      <w:r>
        <w:rPr>
          <w:rFonts w:ascii="Times New Roman" w:hAnsi="Times New Roman"/>
          <w:color w:val="auto"/>
          <w:highlight w:val="none"/>
        </w:rPr>
        <w:t>的</w:t>
      </w:r>
      <w:r>
        <w:rPr>
          <w:rFonts w:hint="eastAsia" w:ascii="Times New Roman" w:hAnsi="Times New Roman"/>
          <w:color w:val="auto"/>
          <w:highlight w:val="none"/>
        </w:rPr>
        <w:t>包装</w:t>
      </w:r>
      <w:r>
        <w:rPr>
          <w:rFonts w:ascii="Times New Roman" w:hAnsi="Times New Roman"/>
          <w:color w:val="auto"/>
          <w:highlight w:val="none"/>
        </w:rPr>
        <w:t>和标记</w:t>
      </w:r>
      <w:bookmarkEnd w:id="154"/>
      <w:bookmarkEnd w:id="155"/>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4.1.1（A）</w:t>
      </w:r>
      <w:r>
        <w:rPr>
          <w:rFonts w:hint="eastAsia" w:ascii="Times New Roman" w:hAnsi="Times New Roman"/>
          <w:color w:val="auto"/>
          <w:highlight w:val="none"/>
          <w:lang w:val="en-US" w:eastAsia="zh-CN"/>
        </w:rPr>
        <w:t>响应</w:t>
      </w:r>
      <w:r>
        <w:rPr>
          <w:rFonts w:ascii="Times New Roman" w:hAnsi="Times New Roman"/>
          <w:color w:val="auto"/>
          <w:highlight w:val="none"/>
        </w:rPr>
        <w:t>文件应密封包装，并在封套的封口处加盖</w:t>
      </w:r>
      <w:r>
        <w:rPr>
          <w:rFonts w:hint="eastAsia" w:ascii="Times New Roman" w:hAnsi="Times New Roman"/>
          <w:color w:val="auto"/>
          <w:highlight w:val="none"/>
          <w:lang w:val="en-US" w:eastAsia="zh-CN"/>
        </w:rPr>
        <w:t>供应商</w:t>
      </w:r>
      <w:r>
        <w:rPr>
          <w:rFonts w:ascii="Times New Roman" w:hAnsi="Times New Roman"/>
          <w:color w:val="auto"/>
          <w:highlight w:val="none"/>
        </w:rPr>
        <w:t>单位章或由</w:t>
      </w:r>
      <w:r>
        <w:rPr>
          <w:rFonts w:hint="eastAsia" w:ascii="Times New Roman" w:hAnsi="Times New Roman"/>
          <w:color w:val="auto"/>
          <w:highlight w:val="none"/>
          <w:lang w:val="en-US" w:eastAsia="zh-CN"/>
        </w:rPr>
        <w:t>供应商</w:t>
      </w:r>
      <w:r>
        <w:rPr>
          <w:rFonts w:ascii="Times New Roman" w:hAnsi="Times New Roman"/>
          <w:color w:val="auto"/>
          <w:highlight w:val="none"/>
        </w:rPr>
        <w:t>的法定代表人（单位负责人）或其授权的代理人签字。</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 xml:space="preserve">4.1.2 </w:t>
      </w:r>
      <w:r>
        <w:rPr>
          <w:rFonts w:hint="eastAsia" w:ascii="Times New Roman" w:hAnsi="Times New Roman"/>
          <w:color w:val="auto"/>
          <w:highlight w:val="none"/>
          <w:lang w:val="en-US" w:eastAsia="zh-CN"/>
        </w:rPr>
        <w:t>响应</w:t>
      </w:r>
      <w:r>
        <w:rPr>
          <w:rFonts w:ascii="Times New Roman" w:hAnsi="Times New Roman"/>
          <w:color w:val="auto"/>
          <w:highlight w:val="none"/>
        </w:rPr>
        <w:t>文件封套上应写明的内容见</w:t>
      </w:r>
      <w:r>
        <w:rPr>
          <w:rFonts w:hint="eastAsia" w:ascii="Times New Roman" w:hAnsi="Times New Roman"/>
          <w:color w:val="auto"/>
          <w:highlight w:val="none"/>
          <w:lang w:val="en-US" w:eastAsia="zh-CN"/>
        </w:rPr>
        <w:t>供应商</w:t>
      </w:r>
      <w:r>
        <w:rPr>
          <w:rFonts w:ascii="Times New Roman" w:hAnsi="Times New Roman"/>
          <w:color w:val="auto"/>
          <w:highlight w:val="none"/>
        </w:rPr>
        <w:t>须知前附表。</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4.1.3 未按本章第4.1.1项要求密封的</w:t>
      </w:r>
      <w:r>
        <w:rPr>
          <w:rFonts w:hint="eastAsia" w:ascii="Times New Roman" w:hAnsi="Times New Roman"/>
          <w:color w:val="auto"/>
          <w:highlight w:val="none"/>
          <w:lang w:val="en-US" w:eastAsia="zh-CN"/>
        </w:rPr>
        <w:t>响应</w:t>
      </w:r>
      <w:r>
        <w:rPr>
          <w:rFonts w:ascii="Times New Roman" w:hAnsi="Times New Roman"/>
          <w:color w:val="auto"/>
          <w:highlight w:val="none"/>
        </w:rPr>
        <w:t>文件，</w:t>
      </w:r>
      <w:r>
        <w:rPr>
          <w:rFonts w:hint="eastAsia" w:ascii="Times New Roman" w:hAnsi="Times New Roman"/>
          <w:color w:val="auto"/>
          <w:highlight w:val="none"/>
          <w:lang w:val="en-US" w:eastAsia="zh-CN"/>
        </w:rPr>
        <w:t>采购</w:t>
      </w:r>
      <w:r>
        <w:rPr>
          <w:rFonts w:ascii="Times New Roman" w:hAnsi="Times New Roman"/>
          <w:color w:val="auto"/>
          <w:highlight w:val="none"/>
        </w:rPr>
        <w:t>人将予以拒收。</w:t>
      </w:r>
    </w:p>
    <w:p>
      <w:pPr>
        <w:pStyle w:val="4"/>
        <w:spacing w:line="240" w:lineRule="auto"/>
        <w:ind w:firstLine="137"/>
        <w:rPr>
          <w:rFonts w:ascii="Times New Roman" w:hAnsi="Times New Roman"/>
          <w:color w:val="auto"/>
          <w:highlight w:val="none"/>
        </w:rPr>
      </w:pPr>
      <w:bookmarkStart w:id="156" w:name="_Toc501460678"/>
      <w:bookmarkStart w:id="157" w:name="_Toc22901"/>
      <w:r>
        <w:rPr>
          <w:rFonts w:ascii="Times New Roman" w:hAnsi="Times New Roman"/>
          <w:color w:val="auto"/>
          <w:highlight w:val="none"/>
        </w:rPr>
        <w:t xml:space="preserve">4.2 </w:t>
      </w:r>
      <w:r>
        <w:rPr>
          <w:rFonts w:hint="eastAsia" w:ascii="Times New Roman" w:hAnsi="Times New Roman"/>
          <w:color w:val="auto"/>
          <w:highlight w:val="none"/>
        </w:rPr>
        <w:t>响应文件</w:t>
      </w:r>
      <w:r>
        <w:rPr>
          <w:rFonts w:ascii="Times New Roman" w:hAnsi="Times New Roman"/>
          <w:color w:val="auto"/>
          <w:highlight w:val="none"/>
        </w:rPr>
        <w:t>的递交</w:t>
      </w:r>
      <w:bookmarkEnd w:id="156"/>
      <w:bookmarkEnd w:id="157"/>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 xml:space="preserve">4.2.1 </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A</w:t>
      </w:r>
      <w:r>
        <w:rPr>
          <w:rFonts w:hint="eastAsia" w:ascii="Times New Roman" w:hAnsi="Times New Roman"/>
          <w:color w:val="auto"/>
          <w:highlight w:val="none"/>
          <w:lang w:eastAsia="zh-CN"/>
        </w:rPr>
        <w:t>）</w:t>
      </w:r>
      <w:r>
        <w:rPr>
          <w:rFonts w:hint="eastAsia" w:ascii="Times New Roman" w:hAnsi="Times New Roman"/>
          <w:color w:val="auto"/>
          <w:highlight w:val="none"/>
        </w:rPr>
        <w:t>供应商</w:t>
      </w:r>
      <w:r>
        <w:rPr>
          <w:rFonts w:ascii="Times New Roman" w:hAnsi="Times New Roman"/>
          <w:color w:val="auto"/>
          <w:highlight w:val="none"/>
        </w:rPr>
        <w:t>应在</w:t>
      </w:r>
      <w:r>
        <w:rPr>
          <w:rFonts w:hint="eastAsia" w:ascii="黑体" w:hAnsi="黑体" w:eastAsia="黑体" w:cs="黑体"/>
          <w:iCs/>
          <w:color w:val="auto"/>
          <w:highlight w:val="none"/>
        </w:rPr>
        <w:t>供应商须知前附表</w:t>
      </w:r>
      <w:r>
        <w:rPr>
          <w:rFonts w:ascii="Times New Roman" w:hAnsi="Times New Roman"/>
          <w:color w:val="auto"/>
          <w:highlight w:val="none"/>
        </w:rPr>
        <w:t>规定的</w:t>
      </w:r>
      <w:r>
        <w:rPr>
          <w:rFonts w:hint="eastAsia" w:ascii="Times New Roman" w:hAnsi="Times New Roman"/>
          <w:color w:val="auto"/>
          <w:highlight w:val="none"/>
        </w:rPr>
        <w:t>递交响应文件的截止时间</w:t>
      </w:r>
      <w:r>
        <w:rPr>
          <w:rFonts w:ascii="Times New Roman" w:hAnsi="Times New Roman"/>
          <w:color w:val="auto"/>
          <w:highlight w:val="none"/>
        </w:rPr>
        <w:t>前</w:t>
      </w:r>
      <w:r>
        <w:rPr>
          <w:rFonts w:hint="eastAsia" w:ascii="Times New Roman" w:hAnsi="Times New Roman"/>
          <w:color w:val="auto"/>
          <w:highlight w:val="none"/>
        </w:rPr>
        <w:t>，将响应文件递交到</w:t>
      </w:r>
      <w:r>
        <w:rPr>
          <w:rFonts w:hint="eastAsia" w:ascii="黑体" w:hAnsi="黑体" w:eastAsia="黑体" w:cs="黑体"/>
          <w:iCs/>
          <w:color w:val="auto"/>
          <w:highlight w:val="none"/>
        </w:rPr>
        <w:t>供应商须知前附表</w:t>
      </w:r>
      <w:r>
        <w:rPr>
          <w:rFonts w:ascii="Times New Roman" w:hAnsi="Times New Roman"/>
          <w:color w:val="auto"/>
          <w:highlight w:val="none"/>
        </w:rPr>
        <w:t>规定的</w:t>
      </w:r>
      <w:r>
        <w:rPr>
          <w:rFonts w:hint="eastAsia" w:ascii="Times New Roman" w:hAnsi="Times New Roman"/>
          <w:color w:val="auto"/>
          <w:highlight w:val="none"/>
        </w:rPr>
        <w:t>地点</w:t>
      </w:r>
      <w:r>
        <w:rPr>
          <w:rFonts w:ascii="Times New Roman" w:hAnsi="Times New Roman"/>
          <w:color w:val="auto"/>
          <w:highlight w:val="none"/>
        </w:rPr>
        <w:t>。逾期送达的</w:t>
      </w:r>
      <w:r>
        <w:rPr>
          <w:rFonts w:hint="eastAsia" w:ascii="Times New Roman" w:hAnsi="Times New Roman"/>
          <w:color w:val="auto"/>
          <w:highlight w:val="none"/>
        </w:rPr>
        <w:t>或者未送达指定地点</w:t>
      </w:r>
      <w:r>
        <w:rPr>
          <w:rFonts w:ascii="Times New Roman" w:hAnsi="Times New Roman"/>
          <w:color w:val="auto"/>
          <w:highlight w:val="none"/>
        </w:rPr>
        <w:t>的</w:t>
      </w:r>
      <w:r>
        <w:rPr>
          <w:rFonts w:hint="eastAsia" w:ascii="Times New Roman" w:hAnsi="Times New Roman"/>
          <w:color w:val="auto"/>
          <w:highlight w:val="none"/>
        </w:rPr>
        <w:t>响应文件</w:t>
      </w:r>
      <w:r>
        <w:rPr>
          <w:rFonts w:ascii="Times New Roman" w:hAnsi="Times New Roman"/>
          <w:color w:val="auto"/>
          <w:highlight w:val="none"/>
        </w:rPr>
        <w:t>，</w:t>
      </w:r>
      <w:r>
        <w:rPr>
          <w:rFonts w:hint="eastAsia" w:ascii="Times New Roman" w:hAnsi="Times New Roman"/>
          <w:color w:val="auto"/>
          <w:highlight w:val="none"/>
        </w:rPr>
        <w:t>采购人</w:t>
      </w:r>
      <w:r>
        <w:rPr>
          <w:rFonts w:ascii="Times New Roman" w:hAnsi="Times New Roman"/>
          <w:color w:val="auto"/>
          <w:highlight w:val="none"/>
        </w:rPr>
        <w:t>将</w:t>
      </w:r>
      <w:r>
        <w:rPr>
          <w:rFonts w:hint="eastAsia" w:ascii="Times New Roman" w:hAnsi="Times New Roman"/>
          <w:color w:val="auto"/>
          <w:highlight w:val="none"/>
        </w:rPr>
        <w:t>拒绝接收</w:t>
      </w:r>
      <w:r>
        <w:rPr>
          <w:rFonts w:ascii="Times New Roman" w:hAnsi="Times New Roman"/>
          <w:color w:val="auto"/>
          <w:highlight w:val="none"/>
        </w:rPr>
        <w:t>。</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4.2.2</w:t>
      </w:r>
      <w:r>
        <w:rPr>
          <w:rFonts w:hint="eastAsia" w:ascii="Times New Roman" w:hAnsi="Times New Roman"/>
          <w:color w:val="auto"/>
          <w:highlight w:val="none"/>
        </w:rPr>
        <w:t xml:space="preserve"> </w:t>
      </w:r>
      <w:r>
        <w:rPr>
          <w:rFonts w:ascii="Times New Roman" w:hAnsi="Times New Roman"/>
          <w:color w:val="auto"/>
          <w:highlight w:val="none"/>
        </w:rPr>
        <w:t>除</w:t>
      </w:r>
      <w:r>
        <w:rPr>
          <w:rFonts w:hint="eastAsia" w:ascii="黑体" w:hAnsi="黑体" w:eastAsia="黑体" w:cs="黑体"/>
          <w:iCs/>
          <w:color w:val="auto"/>
          <w:highlight w:val="none"/>
        </w:rPr>
        <w:t>供应商须知前附表</w:t>
      </w:r>
      <w:r>
        <w:rPr>
          <w:rFonts w:ascii="Times New Roman" w:hAnsi="Times New Roman"/>
          <w:color w:val="auto"/>
          <w:highlight w:val="none"/>
        </w:rPr>
        <w:t>另有规定外，</w:t>
      </w:r>
      <w:r>
        <w:rPr>
          <w:rFonts w:hint="eastAsia" w:ascii="Times New Roman" w:hAnsi="Times New Roman"/>
          <w:color w:val="auto"/>
          <w:highlight w:val="none"/>
        </w:rPr>
        <w:t>供应商</w:t>
      </w:r>
      <w:r>
        <w:rPr>
          <w:rFonts w:ascii="Times New Roman" w:hAnsi="Times New Roman"/>
          <w:color w:val="auto"/>
          <w:highlight w:val="none"/>
        </w:rPr>
        <w:t>所递交的</w:t>
      </w:r>
      <w:r>
        <w:rPr>
          <w:rFonts w:hint="eastAsia" w:ascii="Times New Roman" w:hAnsi="Times New Roman"/>
          <w:color w:val="auto"/>
          <w:highlight w:val="none"/>
        </w:rPr>
        <w:t>响应文件</w:t>
      </w:r>
      <w:r>
        <w:rPr>
          <w:rFonts w:ascii="Times New Roman" w:hAnsi="Times New Roman"/>
          <w:color w:val="auto"/>
          <w:highlight w:val="none"/>
        </w:rPr>
        <w:t>不予退还。</w:t>
      </w:r>
    </w:p>
    <w:p>
      <w:pPr>
        <w:pStyle w:val="4"/>
        <w:spacing w:line="240" w:lineRule="auto"/>
        <w:ind w:firstLine="137"/>
        <w:rPr>
          <w:rFonts w:ascii="Times New Roman" w:hAnsi="Times New Roman"/>
          <w:color w:val="auto"/>
          <w:highlight w:val="none"/>
        </w:rPr>
      </w:pPr>
      <w:bookmarkStart w:id="158" w:name="_Toc25499"/>
      <w:bookmarkStart w:id="159" w:name="_Toc501460679"/>
      <w:r>
        <w:rPr>
          <w:rFonts w:ascii="Times New Roman" w:hAnsi="Times New Roman"/>
          <w:color w:val="auto"/>
          <w:highlight w:val="none"/>
        </w:rPr>
        <w:t xml:space="preserve">4.3 </w:t>
      </w:r>
      <w:r>
        <w:rPr>
          <w:rFonts w:hint="eastAsia" w:ascii="Times New Roman" w:hAnsi="Times New Roman"/>
          <w:color w:val="auto"/>
          <w:highlight w:val="none"/>
        </w:rPr>
        <w:t>响应文件</w:t>
      </w:r>
      <w:r>
        <w:rPr>
          <w:rFonts w:ascii="Times New Roman" w:hAnsi="Times New Roman"/>
          <w:color w:val="auto"/>
          <w:highlight w:val="none"/>
        </w:rPr>
        <w:t>的修改与撤回</w:t>
      </w:r>
      <w:bookmarkEnd w:id="158"/>
      <w:bookmarkEnd w:id="159"/>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4.3.1 在本章第4.2.1项规定的</w:t>
      </w:r>
      <w:r>
        <w:rPr>
          <w:rFonts w:hint="eastAsia" w:ascii="Times New Roman" w:hAnsi="Times New Roman"/>
          <w:color w:val="auto"/>
          <w:highlight w:val="none"/>
          <w:lang w:val="en-US" w:eastAsia="zh-CN"/>
        </w:rPr>
        <w:t>递交响应文件</w:t>
      </w:r>
      <w:r>
        <w:rPr>
          <w:rFonts w:ascii="Times New Roman" w:hAnsi="Times New Roman"/>
          <w:color w:val="auto"/>
          <w:highlight w:val="none"/>
        </w:rPr>
        <w:t>截止时间前，</w:t>
      </w:r>
      <w:r>
        <w:rPr>
          <w:rFonts w:hint="eastAsia" w:ascii="Times New Roman" w:hAnsi="Times New Roman"/>
          <w:color w:val="auto"/>
          <w:highlight w:val="none"/>
          <w:lang w:eastAsia="zh-CN"/>
        </w:rPr>
        <w:t>供应商</w:t>
      </w:r>
      <w:r>
        <w:rPr>
          <w:rFonts w:ascii="Times New Roman" w:hAnsi="Times New Roman"/>
          <w:color w:val="auto"/>
          <w:highlight w:val="none"/>
        </w:rPr>
        <w:t>可以修改或撤回已递交的</w:t>
      </w:r>
      <w:r>
        <w:rPr>
          <w:rFonts w:hint="eastAsia" w:ascii="Times New Roman" w:hAnsi="Times New Roman"/>
          <w:color w:val="auto"/>
          <w:highlight w:val="none"/>
          <w:lang w:val="en-US" w:eastAsia="zh-CN"/>
        </w:rPr>
        <w:t>响应</w:t>
      </w:r>
      <w:r>
        <w:rPr>
          <w:rFonts w:ascii="Times New Roman" w:hAnsi="Times New Roman"/>
          <w:color w:val="auto"/>
          <w:highlight w:val="none"/>
        </w:rPr>
        <w:t>文件，但应以书面形式通知</w:t>
      </w:r>
      <w:r>
        <w:rPr>
          <w:rFonts w:hint="eastAsia" w:ascii="Times New Roman" w:hAnsi="Times New Roman"/>
          <w:color w:val="auto"/>
          <w:highlight w:val="none"/>
          <w:lang w:eastAsia="zh-CN"/>
        </w:rPr>
        <w:t>采购人</w:t>
      </w:r>
      <w:r>
        <w:rPr>
          <w:rFonts w:ascii="Times New Roman" w:hAnsi="Times New Roman"/>
          <w:color w:val="auto"/>
          <w:highlight w:val="none"/>
        </w:rPr>
        <w:t>。</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4.3.2（A）</w:t>
      </w:r>
      <w:r>
        <w:rPr>
          <w:rFonts w:hint="eastAsia" w:ascii="Times New Roman" w:hAnsi="Times New Roman"/>
          <w:color w:val="auto"/>
          <w:highlight w:val="none"/>
          <w:lang w:eastAsia="zh-CN"/>
        </w:rPr>
        <w:t>供应商</w:t>
      </w:r>
      <w:r>
        <w:rPr>
          <w:rFonts w:ascii="Times New Roman" w:hAnsi="Times New Roman"/>
          <w:color w:val="auto"/>
          <w:highlight w:val="none"/>
        </w:rPr>
        <w:t>修改或撤回已递交</w:t>
      </w:r>
      <w:r>
        <w:rPr>
          <w:rFonts w:hint="eastAsia" w:ascii="Times New Roman" w:hAnsi="Times New Roman"/>
          <w:color w:val="auto"/>
          <w:highlight w:val="none"/>
          <w:lang w:eastAsia="zh-CN"/>
        </w:rPr>
        <w:t>响应文件</w:t>
      </w:r>
      <w:r>
        <w:rPr>
          <w:rFonts w:ascii="Times New Roman" w:hAnsi="Times New Roman"/>
          <w:color w:val="auto"/>
          <w:highlight w:val="none"/>
        </w:rPr>
        <w:t>的书面通知应按照本章第3.7.3（A）项的要求签字或盖章。</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 xml:space="preserve">4.3.3 </w:t>
      </w:r>
      <w:r>
        <w:rPr>
          <w:rFonts w:hint="eastAsia" w:ascii="Times New Roman" w:hAnsi="Times New Roman"/>
          <w:color w:val="auto"/>
          <w:highlight w:val="none"/>
          <w:lang w:eastAsia="zh-CN"/>
        </w:rPr>
        <w:t>供应商</w:t>
      </w:r>
      <w:r>
        <w:rPr>
          <w:rFonts w:ascii="Times New Roman" w:hAnsi="Times New Roman"/>
          <w:color w:val="auto"/>
          <w:highlight w:val="none"/>
        </w:rPr>
        <w:t>撤回</w:t>
      </w:r>
      <w:r>
        <w:rPr>
          <w:rFonts w:hint="eastAsia" w:ascii="Times New Roman" w:hAnsi="Times New Roman"/>
          <w:color w:val="auto"/>
          <w:highlight w:val="none"/>
          <w:lang w:eastAsia="zh-CN"/>
        </w:rPr>
        <w:t>响应文件</w:t>
      </w:r>
      <w:r>
        <w:rPr>
          <w:rFonts w:ascii="Times New Roman" w:hAnsi="Times New Roman"/>
          <w:color w:val="auto"/>
          <w:highlight w:val="none"/>
        </w:rPr>
        <w:t>的，</w:t>
      </w:r>
      <w:r>
        <w:rPr>
          <w:rFonts w:hint="eastAsia" w:ascii="Times New Roman" w:hAnsi="Times New Roman"/>
          <w:color w:val="auto"/>
          <w:highlight w:val="none"/>
          <w:lang w:eastAsia="zh-CN"/>
        </w:rPr>
        <w:t>采购人</w:t>
      </w:r>
      <w:r>
        <w:rPr>
          <w:rFonts w:ascii="Times New Roman" w:hAnsi="Times New Roman"/>
          <w:color w:val="auto"/>
          <w:highlight w:val="none"/>
        </w:rPr>
        <w:t>自收到</w:t>
      </w:r>
      <w:r>
        <w:rPr>
          <w:rFonts w:hint="eastAsia" w:ascii="Times New Roman" w:hAnsi="Times New Roman"/>
          <w:color w:val="auto"/>
          <w:highlight w:val="none"/>
          <w:lang w:eastAsia="zh-CN"/>
        </w:rPr>
        <w:t>供应商</w:t>
      </w:r>
      <w:r>
        <w:rPr>
          <w:rFonts w:ascii="Times New Roman" w:hAnsi="Times New Roman"/>
          <w:color w:val="auto"/>
          <w:highlight w:val="none"/>
        </w:rPr>
        <w:t>书面撤回通知之日起5日内退还已收取的投标保证金。</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4.3.</w:t>
      </w:r>
      <w:bookmarkStart w:id="160" w:name="_Toc300834974"/>
      <w:bookmarkStart w:id="161" w:name="_Toc19203"/>
      <w:bookmarkStart w:id="162" w:name="_Toc369531541"/>
      <w:bookmarkStart w:id="163" w:name="_Toc352691497"/>
      <w:bookmarkStart w:id="164" w:name="_Toc247527578"/>
      <w:bookmarkStart w:id="165" w:name="_Toc361508610"/>
      <w:bookmarkStart w:id="166" w:name="_Toc384308235"/>
      <w:bookmarkStart w:id="167" w:name="_Toc247513977"/>
      <w:bookmarkStart w:id="168" w:name="_Toc144974521"/>
      <w:bookmarkStart w:id="169" w:name="_Toc152042329"/>
      <w:bookmarkStart w:id="170" w:name="_Toc152045553"/>
      <w:r>
        <w:rPr>
          <w:rFonts w:ascii="Times New Roman" w:hAnsi="Times New Roman"/>
          <w:color w:val="auto"/>
          <w:highlight w:val="none"/>
        </w:rPr>
        <w:t>4 修改的内容为</w:t>
      </w:r>
      <w:bookmarkEnd w:id="160"/>
      <w:bookmarkEnd w:id="161"/>
      <w:bookmarkEnd w:id="162"/>
      <w:bookmarkEnd w:id="163"/>
      <w:bookmarkEnd w:id="164"/>
      <w:bookmarkEnd w:id="165"/>
      <w:bookmarkEnd w:id="166"/>
      <w:bookmarkEnd w:id="167"/>
      <w:bookmarkEnd w:id="168"/>
      <w:bookmarkEnd w:id="169"/>
      <w:bookmarkEnd w:id="170"/>
      <w:r>
        <w:rPr>
          <w:rFonts w:hint="eastAsia" w:ascii="Times New Roman" w:hAnsi="Times New Roman"/>
          <w:color w:val="auto"/>
          <w:highlight w:val="none"/>
          <w:lang w:eastAsia="zh-CN"/>
        </w:rPr>
        <w:t>响应文件</w:t>
      </w:r>
      <w:r>
        <w:rPr>
          <w:rFonts w:ascii="Times New Roman" w:hAnsi="Times New Roman"/>
          <w:color w:val="auto"/>
          <w:highlight w:val="none"/>
        </w:rPr>
        <w:t>的组成部分。修改的</w:t>
      </w:r>
      <w:r>
        <w:rPr>
          <w:rFonts w:hint="eastAsia" w:ascii="Times New Roman" w:hAnsi="Times New Roman"/>
          <w:color w:val="auto"/>
          <w:highlight w:val="none"/>
          <w:lang w:eastAsia="zh-CN"/>
        </w:rPr>
        <w:t>响应文件</w:t>
      </w:r>
      <w:r>
        <w:rPr>
          <w:rFonts w:ascii="Times New Roman" w:hAnsi="Times New Roman"/>
          <w:color w:val="auto"/>
          <w:highlight w:val="none"/>
        </w:rPr>
        <w:t>应按照本章第3条、第4条的规定进行编制、密封、标记和递交，并标明“修改”字样。</w:t>
      </w:r>
    </w:p>
    <w:p>
      <w:pPr>
        <w:spacing w:line="400" w:lineRule="exact"/>
        <w:ind w:firstLine="420" w:firstLineChars="200"/>
        <w:rPr>
          <w:rFonts w:ascii="Times New Roman" w:hAnsi="Times New Roman"/>
          <w:color w:val="auto"/>
          <w:highlight w:val="none"/>
        </w:rPr>
      </w:pPr>
    </w:p>
    <w:p>
      <w:pPr>
        <w:pStyle w:val="3"/>
        <w:rPr>
          <w:rFonts w:ascii="Times New Roman" w:hAnsi="Times New Roman"/>
          <w:color w:val="auto"/>
          <w:highlight w:val="none"/>
        </w:rPr>
      </w:pPr>
      <w:bookmarkStart w:id="171" w:name="_Toc9051"/>
      <w:bookmarkStart w:id="172" w:name="_Toc501460680"/>
      <w:r>
        <w:rPr>
          <w:rFonts w:ascii="Times New Roman" w:hAnsi="Times New Roman"/>
          <w:color w:val="auto"/>
          <w:highlight w:val="none"/>
        </w:rPr>
        <w:t xml:space="preserve">5. </w:t>
      </w:r>
      <w:r>
        <w:rPr>
          <w:rFonts w:hint="eastAsia" w:ascii="Times New Roman" w:hAnsi="Times New Roman"/>
          <w:color w:val="auto"/>
          <w:highlight w:val="none"/>
        </w:rPr>
        <w:t>开启响应文件</w:t>
      </w:r>
      <w:bookmarkEnd w:id="171"/>
      <w:bookmarkEnd w:id="172"/>
    </w:p>
    <w:p>
      <w:pPr>
        <w:pStyle w:val="4"/>
        <w:spacing w:line="240" w:lineRule="auto"/>
        <w:ind w:firstLine="137"/>
        <w:rPr>
          <w:rFonts w:hint="eastAsia" w:ascii="Times New Roman" w:hAnsi="Times New Roman" w:eastAsia="黑体"/>
          <w:color w:val="auto"/>
          <w:highlight w:val="none"/>
          <w:lang w:eastAsia="zh-CN"/>
        </w:rPr>
      </w:pPr>
      <w:bookmarkStart w:id="173" w:name="_Toc30578"/>
      <w:bookmarkStart w:id="174" w:name="_Toc501460683"/>
      <w:r>
        <w:rPr>
          <w:rFonts w:ascii="Times New Roman" w:hAnsi="Times New Roman"/>
          <w:color w:val="auto"/>
          <w:highlight w:val="none"/>
        </w:rPr>
        <w:t xml:space="preserve">5.1 </w:t>
      </w:r>
      <w:r>
        <w:rPr>
          <w:rFonts w:hint="eastAsia" w:ascii="Times New Roman" w:hAnsi="Times New Roman"/>
          <w:color w:val="auto"/>
          <w:highlight w:val="none"/>
        </w:rPr>
        <w:t>开启响应文件的</w:t>
      </w:r>
      <w:r>
        <w:rPr>
          <w:rFonts w:ascii="Times New Roman" w:hAnsi="Times New Roman"/>
          <w:color w:val="auto"/>
          <w:highlight w:val="none"/>
        </w:rPr>
        <w:t>时间和地点</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A</w:t>
      </w:r>
      <w:r>
        <w:rPr>
          <w:rFonts w:hint="eastAsia" w:ascii="Times New Roman" w:hAnsi="Times New Roman"/>
          <w:color w:val="auto"/>
          <w:highlight w:val="none"/>
          <w:lang w:eastAsia="zh-CN"/>
        </w:rPr>
        <w:t>）</w:t>
      </w:r>
      <w:bookmarkEnd w:id="173"/>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采购人</w:t>
      </w:r>
      <w:r>
        <w:rPr>
          <w:rFonts w:ascii="Times New Roman" w:hAnsi="Times New Roman"/>
          <w:color w:val="auto"/>
          <w:highlight w:val="none"/>
        </w:rPr>
        <w:t>在本章第4.2.1项规定的</w:t>
      </w:r>
      <w:r>
        <w:rPr>
          <w:rFonts w:hint="eastAsia" w:ascii="Times New Roman" w:hAnsi="Times New Roman"/>
          <w:color w:val="auto"/>
          <w:highlight w:val="none"/>
        </w:rPr>
        <w:t>递交响应文件的截止时间</w:t>
      </w:r>
      <w:r>
        <w:rPr>
          <w:rFonts w:ascii="Times New Roman" w:hAnsi="Times New Roman"/>
          <w:color w:val="auto"/>
          <w:highlight w:val="none"/>
        </w:rPr>
        <w:t>和地点公开</w:t>
      </w:r>
      <w:r>
        <w:rPr>
          <w:rFonts w:hint="eastAsia" w:ascii="Times New Roman" w:hAnsi="Times New Roman"/>
          <w:color w:val="auto"/>
          <w:highlight w:val="none"/>
        </w:rPr>
        <w:t>开启响应文件</w:t>
      </w:r>
      <w:r>
        <w:rPr>
          <w:rFonts w:ascii="Times New Roman" w:hAnsi="Times New Roman"/>
          <w:color w:val="auto"/>
          <w:highlight w:val="none"/>
        </w:rPr>
        <w:t>，</w:t>
      </w:r>
      <w:r>
        <w:rPr>
          <w:rFonts w:hint="eastAsia" w:ascii="Times New Roman" w:hAnsi="Times New Roman"/>
          <w:color w:val="auto"/>
          <w:highlight w:val="none"/>
        </w:rPr>
        <w:t>供应商</w:t>
      </w:r>
      <w:r>
        <w:rPr>
          <w:rFonts w:hint="eastAsia" w:ascii="Times New Roman" w:hAnsi="Times New Roman"/>
          <w:color w:val="auto"/>
          <w:highlight w:val="none"/>
          <w:lang w:eastAsia="zh-CN"/>
        </w:rPr>
        <w:t>可派</w:t>
      </w:r>
      <w:r>
        <w:rPr>
          <w:rFonts w:hint="eastAsia" w:ascii="Times New Roman" w:hAnsi="Times New Roman"/>
          <w:color w:val="auto"/>
          <w:highlight w:val="none"/>
        </w:rPr>
        <w:t>代表</w:t>
      </w:r>
      <w:r>
        <w:rPr>
          <w:rFonts w:hint="eastAsia" w:ascii="Times New Roman" w:hAnsi="Times New Roman"/>
          <w:color w:val="auto"/>
          <w:highlight w:val="none"/>
          <w:lang w:eastAsia="zh-CN"/>
        </w:rPr>
        <w:t>现场</w:t>
      </w:r>
      <w:r>
        <w:rPr>
          <w:rFonts w:hint="eastAsia" w:ascii="Times New Roman" w:hAnsi="Times New Roman"/>
          <w:color w:val="auto"/>
          <w:highlight w:val="none"/>
        </w:rPr>
        <w:t>参加</w:t>
      </w:r>
      <w:r>
        <w:rPr>
          <w:rFonts w:hint="eastAsia" w:ascii="Times New Roman" w:hAnsi="Times New Roman"/>
          <w:color w:val="auto"/>
          <w:highlight w:val="none"/>
          <w:lang w:eastAsia="zh-CN"/>
        </w:rPr>
        <w:t>开启会议，</w:t>
      </w:r>
      <w:r>
        <w:rPr>
          <w:rFonts w:hint="eastAsia" w:ascii="Times New Roman" w:hAnsi="Times New Roman"/>
          <w:color w:val="auto"/>
          <w:highlight w:val="none"/>
        </w:rPr>
        <w:t>未派代表参加的，视为默认开启结果。</w:t>
      </w:r>
    </w:p>
    <w:p>
      <w:pPr>
        <w:pStyle w:val="4"/>
        <w:spacing w:line="240" w:lineRule="auto"/>
        <w:ind w:firstLine="137"/>
        <w:rPr>
          <w:rFonts w:ascii="Times New Roman" w:hAnsi="Times New Roman"/>
          <w:color w:val="auto"/>
          <w:highlight w:val="none"/>
        </w:rPr>
      </w:pPr>
      <w:bookmarkStart w:id="175" w:name="_Toc8349"/>
      <w:r>
        <w:rPr>
          <w:rFonts w:ascii="Times New Roman" w:hAnsi="Times New Roman"/>
          <w:color w:val="auto"/>
          <w:highlight w:val="none"/>
        </w:rPr>
        <w:t xml:space="preserve">5.2 </w:t>
      </w:r>
      <w:r>
        <w:rPr>
          <w:rFonts w:hint="eastAsia" w:ascii="Times New Roman" w:hAnsi="Times New Roman"/>
          <w:color w:val="auto"/>
          <w:highlight w:val="none"/>
        </w:rPr>
        <w:t>开启</w:t>
      </w:r>
      <w:r>
        <w:rPr>
          <w:rFonts w:ascii="Times New Roman" w:hAnsi="Times New Roman"/>
          <w:color w:val="auto"/>
          <w:highlight w:val="none"/>
        </w:rPr>
        <w:t>程序</w:t>
      </w:r>
      <w:bookmarkEnd w:id="174"/>
      <w:bookmarkEnd w:id="175"/>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主持人按下列程序</w:t>
      </w:r>
      <w:r>
        <w:rPr>
          <w:rFonts w:hint="eastAsia" w:ascii="Times New Roman" w:hAnsi="Times New Roman"/>
          <w:color w:val="auto"/>
          <w:highlight w:val="none"/>
        </w:rPr>
        <w:t>公开开启响应文件</w:t>
      </w:r>
      <w:r>
        <w:rPr>
          <w:rFonts w:ascii="Times New Roman" w:hAnsi="Times New Roman"/>
          <w:color w:val="auto"/>
          <w:highlight w:val="none"/>
        </w:rPr>
        <w:t>：</w:t>
      </w:r>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宣布</w:t>
      </w:r>
      <w:r>
        <w:rPr>
          <w:rFonts w:hint="eastAsia" w:ascii="Times New Roman" w:hAnsi="Times New Roman"/>
          <w:color w:val="auto"/>
          <w:highlight w:val="none"/>
        </w:rPr>
        <w:t>开启会议</w:t>
      </w:r>
      <w:r>
        <w:rPr>
          <w:rFonts w:ascii="Times New Roman" w:hAnsi="Times New Roman"/>
          <w:color w:val="auto"/>
          <w:highlight w:val="none"/>
        </w:rPr>
        <w:t>纪律；</w:t>
      </w:r>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（2）宣布参加开启会议的工作人员姓名；</w:t>
      </w:r>
    </w:p>
    <w:p>
      <w:pPr>
        <w:spacing w:line="400" w:lineRule="exact"/>
        <w:ind w:firstLine="420" w:firstLineChars="200"/>
        <w:rPr>
          <w:rFonts w:hint="eastAsia" w:ascii="Times New Roman" w:hAnsi="Times New Roman" w:eastAsia="宋体"/>
          <w:color w:val="auto"/>
          <w:highlight w:val="none"/>
          <w:lang w:eastAsia="zh-CN"/>
        </w:rPr>
      </w:pPr>
      <w:r>
        <w:rPr>
          <w:rFonts w:hint="eastAsia" w:ascii="Times New Roman" w:hAnsi="Times New Roman"/>
          <w:color w:val="auto"/>
          <w:highlight w:val="none"/>
        </w:rPr>
        <w:t>（3）（A）供应商代表检查确认响应文件的密封情况</w:t>
      </w:r>
      <w:r>
        <w:rPr>
          <w:rFonts w:hint="eastAsia" w:ascii="Times New Roman" w:hAnsi="Times New Roman"/>
          <w:color w:val="auto"/>
          <w:highlight w:val="none"/>
          <w:lang w:eastAsia="zh-CN"/>
        </w:rPr>
        <w:t>，</w:t>
      </w:r>
      <w:r>
        <w:rPr>
          <w:rFonts w:ascii="Times New Roman" w:hAnsi="Times New Roman"/>
          <w:color w:val="auto"/>
          <w:highlight w:val="none"/>
        </w:rPr>
        <w:t>按照</w:t>
      </w:r>
      <w:r>
        <w:rPr>
          <w:rFonts w:hint="eastAsia" w:ascii="黑体" w:hAnsi="黑体" w:eastAsia="黑体" w:cs="黑体"/>
          <w:iCs/>
          <w:color w:val="auto"/>
          <w:highlight w:val="none"/>
        </w:rPr>
        <w:t>供应商须知前附表</w:t>
      </w:r>
      <w:r>
        <w:rPr>
          <w:rFonts w:ascii="Times New Roman" w:hAnsi="Times New Roman"/>
          <w:color w:val="auto"/>
          <w:highlight w:val="none"/>
        </w:rPr>
        <w:t>规定的</w:t>
      </w:r>
      <w:r>
        <w:rPr>
          <w:rFonts w:hint="eastAsia" w:ascii="Times New Roman" w:hAnsi="Times New Roman"/>
          <w:color w:val="auto"/>
          <w:highlight w:val="none"/>
        </w:rPr>
        <w:t>开启</w:t>
      </w:r>
      <w:r>
        <w:rPr>
          <w:rFonts w:ascii="Times New Roman" w:hAnsi="Times New Roman"/>
          <w:color w:val="auto"/>
          <w:highlight w:val="none"/>
        </w:rPr>
        <w:t>顺序</w:t>
      </w:r>
      <w:r>
        <w:rPr>
          <w:rFonts w:hint="eastAsia" w:ascii="Times New Roman" w:hAnsi="Times New Roman"/>
          <w:color w:val="auto"/>
          <w:highlight w:val="none"/>
        </w:rPr>
        <w:t>开启响应文件</w:t>
      </w:r>
      <w:r>
        <w:rPr>
          <w:rFonts w:ascii="Times New Roman" w:hAnsi="Times New Roman"/>
          <w:color w:val="auto"/>
          <w:highlight w:val="none"/>
        </w:rPr>
        <w:t>，公布</w:t>
      </w:r>
      <w:r>
        <w:rPr>
          <w:rFonts w:hint="eastAsia" w:ascii="Times New Roman" w:hAnsi="Times New Roman"/>
          <w:color w:val="auto"/>
          <w:highlight w:val="none"/>
        </w:rPr>
        <w:t>递交响应文件的供应商</w:t>
      </w:r>
      <w:r>
        <w:rPr>
          <w:rFonts w:ascii="Times New Roman" w:hAnsi="Times New Roman"/>
          <w:color w:val="auto"/>
          <w:highlight w:val="none"/>
        </w:rPr>
        <w:t>名称</w:t>
      </w:r>
      <w:r>
        <w:rPr>
          <w:rFonts w:hint="eastAsia" w:ascii="Times New Roman" w:hAnsi="Times New Roman"/>
          <w:color w:val="auto"/>
          <w:highlight w:val="none"/>
        </w:rPr>
        <w:t>、</w:t>
      </w:r>
      <w:r>
        <w:rPr>
          <w:rFonts w:ascii="Times New Roman" w:hAnsi="Times New Roman"/>
          <w:color w:val="auto"/>
          <w:highlight w:val="none"/>
        </w:rPr>
        <w:t>响应报价</w:t>
      </w:r>
      <w:r>
        <w:rPr>
          <w:rFonts w:hint="eastAsia" w:ascii="Times New Roman" w:hAnsi="Times New Roman"/>
          <w:color w:val="auto"/>
          <w:highlight w:val="none"/>
        </w:rPr>
        <w:t>及</w:t>
      </w:r>
      <w:r>
        <w:rPr>
          <w:rFonts w:hint="eastAsia" w:ascii="黑体" w:hAnsi="黑体" w:eastAsia="黑体" w:cs="黑体"/>
          <w:iCs/>
          <w:color w:val="auto"/>
          <w:highlight w:val="none"/>
        </w:rPr>
        <w:t>供应商须知前附表</w:t>
      </w:r>
      <w:r>
        <w:rPr>
          <w:rFonts w:ascii="Times New Roman" w:hAnsi="Times New Roman"/>
          <w:color w:val="auto"/>
          <w:highlight w:val="none"/>
        </w:rPr>
        <w:t>规定的</w:t>
      </w:r>
      <w:r>
        <w:rPr>
          <w:rFonts w:hint="eastAsia" w:ascii="Times New Roman" w:hAnsi="Times New Roman"/>
          <w:color w:val="auto"/>
          <w:highlight w:val="none"/>
        </w:rPr>
        <w:t>其他应公布的信息，并记录在案；</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4</w:t>
      </w:r>
      <w:r>
        <w:rPr>
          <w:rFonts w:hint="eastAsia" w:ascii="Times New Roman" w:hAnsi="Times New Roman"/>
          <w:color w:val="auto"/>
          <w:highlight w:val="none"/>
        </w:rPr>
        <w:t>）开启会议结束。</w:t>
      </w:r>
    </w:p>
    <w:p>
      <w:pPr>
        <w:pStyle w:val="4"/>
        <w:spacing w:line="240" w:lineRule="auto"/>
        <w:ind w:firstLine="137"/>
        <w:rPr>
          <w:rFonts w:ascii="Times New Roman" w:hAnsi="Times New Roman"/>
          <w:color w:val="auto"/>
          <w:highlight w:val="none"/>
        </w:rPr>
      </w:pPr>
      <w:bookmarkStart w:id="176" w:name="_Toc4506"/>
      <w:r>
        <w:rPr>
          <w:rFonts w:ascii="Times New Roman" w:hAnsi="Times New Roman"/>
          <w:color w:val="auto"/>
          <w:highlight w:val="none"/>
        </w:rPr>
        <w:t>5.</w:t>
      </w:r>
      <w:r>
        <w:rPr>
          <w:rFonts w:hint="eastAsia" w:ascii="Times New Roman" w:hAnsi="Times New Roman"/>
          <w:color w:val="auto"/>
          <w:highlight w:val="none"/>
        </w:rPr>
        <w:t>3</w:t>
      </w:r>
      <w:r>
        <w:rPr>
          <w:rFonts w:ascii="Times New Roman" w:hAnsi="Times New Roman"/>
          <w:color w:val="auto"/>
          <w:highlight w:val="none"/>
        </w:rPr>
        <w:t xml:space="preserve"> </w:t>
      </w:r>
      <w:r>
        <w:rPr>
          <w:rFonts w:hint="eastAsia" w:ascii="Times New Roman" w:hAnsi="Times New Roman"/>
          <w:color w:val="auto"/>
          <w:highlight w:val="none"/>
        </w:rPr>
        <w:t>递交响应文件的供应商不足的情形</w:t>
      </w:r>
      <w:bookmarkEnd w:id="176"/>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采购项目选择一家成交供应商时，递交响应文件的供应商数量不足三家的，或采购项目选择多家成交供应商时，递交响应文件的供应商数量少于</w:t>
      </w:r>
      <w:r>
        <w:rPr>
          <w:rFonts w:hint="eastAsia" w:ascii="Times New Roman" w:hAnsi="Times New Roman"/>
          <w:b/>
          <w:color w:val="auto"/>
          <w:highlight w:val="none"/>
        </w:rPr>
        <w:t>供应商须知前附表</w:t>
      </w:r>
      <w:r>
        <w:rPr>
          <w:rFonts w:hint="eastAsia" w:ascii="Times New Roman" w:hAnsi="Times New Roman"/>
          <w:color w:val="auto"/>
          <w:highlight w:val="none"/>
        </w:rPr>
        <w:t>规定数量的，采购人可按照下述情形分别处理：</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（1）终止询比并重新组织采购</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采购项目存在影响公平竞争情形的，采购人应当终止询比采购，并根据不同情形和原因，采取相应纠正措施，重新组织采购。</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采购项目不存在影响公平竞争情形的，采购人也可以选择终止询比采购，采取相应完善措施，重新组织采购。</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（2）继续询比采购</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采购项目不存在应该终止询比情形</w:t>
      </w:r>
      <w:r>
        <w:rPr>
          <w:rFonts w:hint="eastAsia" w:ascii="Times New Roman" w:hAnsi="Times New Roman"/>
          <w:color w:val="auto"/>
          <w:highlight w:val="none"/>
        </w:rPr>
        <w:t>，</w:t>
      </w:r>
      <w:r>
        <w:rPr>
          <w:rFonts w:ascii="Times New Roman" w:hAnsi="Times New Roman"/>
          <w:color w:val="auto"/>
          <w:highlight w:val="none"/>
        </w:rPr>
        <w:t>且采购人也没有自行选择终止询比采购的</w:t>
      </w:r>
      <w:r>
        <w:rPr>
          <w:rFonts w:hint="eastAsia" w:ascii="Times New Roman" w:hAnsi="Times New Roman"/>
          <w:color w:val="auto"/>
          <w:highlight w:val="none"/>
        </w:rPr>
        <w:t>，</w:t>
      </w:r>
      <w:r>
        <w:rPr>
          <w:rFonts w:ascii="Times New Roman" w:hAnsi="Times New Roman"/>
          <w:color w:val="auto"/>
          <w:highlight w:val="none"/>
        </w:rPr>
        <w:t>采购人应按照本章第</w:t>
      </w:r>
      <w:r>
        <w:rPr>
          <w:rFonts w:hint="eastAsia" w:ascii="Times New Roman" w:hAnsi="Times New Roman"/>
          <w:color w:val="auto"/>
          <w:highlight w:val="none"/>
        </w:rPr>
        <w:t>5.2款规定的程序继续开启响应文件，并按第三章“评审办法”规定的规则组织响应文件评审，完成询比采购后续程序。</w:t>
      </w:r>
    </w:p>
    <w:p>
      <w:pPr>
        <w:pStyle w:val="3"/>
        <w:rPr>
          <w:rFonts w:ascii="Times New Roman" w:hAnsi="Times New Roman"/>
          <w:color w:val="auto"/>
          <w:highlight w:val="none"/>
        </w:rPr>
      </w:pPr>
      <w:bookmarkStart w:id="177" w:name="_Toc501460685"/>
      <w:bookmarkStart w:id="178" w:name="_Toc298"/>
      <w:r>
        <w:rPr>
          <w:rFonts w:ascii="Times New Roman" w:hAnsi="Times New Roman"/>
          <w:color w:val="auto"/>
          <w:highlight w:val="none"/>
        </w:rPr>
        <w:t>6.</w:t>
      </w:r>
      <w:bookmarkEnd w:id="177"/>
      <w:r>
        <w:rPr>
          <w:rFonts w:hint="eastAsia" w:ascii="Times New Roman" w:hAnsi="Times New Roman"/>
          <w:color w:val="auto"/>
          <w:highlight w:val="none"/>
        </w:rPr>
        <w:t>评审</w:t>
      </w:r>
      <w:bookmarkEnd w:id="178"/>
    </w:p>
    <w:p>
      <w:pPr>
        <w:pStyle w:val="4"/>
        <w:spacing w:line="240" w:lineRule="auto"/>
        <w:ind w:firstLine="137"/>
        <w:rPr>
          <w:rFonts w:ascii="Times New Roman" w:hAnsi="Times New Roman"/>
          <w:color w:val="auto"/>
          <w:highlight w:val="none"/>
        </w:rPr>
      </w:pPr>
      <w:bookmarkStart w:id="179" w:name="_Toc501460686"/>
      <w:bookmarkStart w:id="180" w:name="_Toc4114"/>
      <w:r>
        <w:rPr>
          <w:rFonts w:ascii="Times New Roman" w:hAnsi="Times New Roman"/>
          <w:color w:val="auto"/>
          <w:highlight w:val="none"/>
        </w:rPr>
        <w:t xml:space="preserve">6.1 </w:t>
      </w:r>
      <w:bookmarkEnd w:id="179"/>
      <w:r>
        <w:rPr>
          <w:rFonts w:hint="eastAsia" w:ascii="Times New Roman" w:hAnsi="Times New Roman"/>
          <w:color w:val="auto"/>
          <w:highlight w:val="none"/>
        </w:rPr>
        <w:t>评审小组</w:t>
      </w:r>
      <w:bookmarkEnd w:id="180"/>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 xml:space="preserve">6.1.1 </w:t>
      </w:r>
      <w:r>
        <w:rPr>
          <w:rFonts w:hint="eastAsia" w:ascii="Times New Roman" w:hAnsi="Times New Roman"/>
          <w:color w:val="auto"/>
          <w:highlight w:val="none"/>
        </w:rPr>
        <w:t>评审由采购人组建的评审小组负责。</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 xml:space="preserve">6.1.2 </w:t>
      </w:r>
      <w:r>
        <w:rPr>
          <w:rFonts w:hint="eastAsia" w:ascii="Times New Roman" w:hAnsi="Times New Roman"/>
          <w:color w:val="auto"/>
          <w:highlight w:val="none"/>
        </w:rPr>
        <w:t>评审小组</w:t>
      </w:r>
      <w:r>
        <w:rPr>
          <w:rFonts w:ascii="Times New Roman" w:hAnsi="Times New Roman"/>
          <w:color w:val="auto"/>
          <w:highlight w:val="none"/>
        </w:rPr>
        <w:t>成员有下列情形之一的，应当回避：</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供应商</w:t>
      </w:r>
      <w:r>
        <w:rPr>
          <w:rFonts w:ascii="Times New Roman" w:hAnsi="Times New Roman"/>
          <w:color w:val="auto"/>
          <w:highlight w:val="none"/>
        </w:rPr>
        <w:t>主要负责人或</w:t>
      </w:r>
      <w:r>
        <w:rPr>
          <w:rFonts w:hint="eastAsia" w:ascii="Times New Roman" w:hAnsi="Times New Roman"/>
          <w:color w:val="auto"/>
          <w:highlight w:val="none"/>
        </w:rPr>
        <w:t>供应商</w:t>
      </w:r>
      <w:r>
        <w:rPr>
          <w:rFonts w:ascii="Times New Roman" w:hAnsi="Times New Roman"/>
          <w:color w:val="auto"/>
          <w:highlight w:val="none"/>
        </w:rPr>
        <w:t>主要负责人的近亲属；</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）与</w:t>
      </w:r>
      <w:r>
        <w:rPr>
          <w:rFonts w:hint="eastAsia" w:ascii="Times New Roman" w:hAnsi="Times New Roman"/>
          <w:color w:val="auto"/>
          <w:highlight w:val="none"/>
        </w:rPr>
        <w:t>供应商</w:t>
      </w:r>
      <w:r>
        <w:rPr>
          <w:rFonts w:ascii="Times New Roman" w:hAnsi="Times New Roman"/>
          <w:color w:val="auto"/>
          <w:highlight w:val="none"/>
        </w:rPr>
        <w:t>有经济利益关系</w:t>
      </w:r>
      <w:r>
        <w:rPr>
          <w:rFonts w:hint="eastAsia" w:ascii="Times New Roman" w:hAnsi="Times New Roman"/>
          <w:color w:val="auto"/>
          <w:highlight w:val="none"/>
        </w:rPr>
        <w:t>或</w:t>
      </w:r>
      <w:r>
        <w:rPr>
          <w:rFonts w:ascii="Times New Roman" w:hAnsi="Times New Roman"/>
          <w:color w:val="auto"/>
          <w:highlight w:val="none"/>
        </w:rPr>
        <w:t>其他利害关系，可能影响公正评审的</w:t>
      </w:r>
      <w:r>
        <w:rPr>
          <w:rFonts w:hint="eastAsia" w:ascii="Times New Roman" w:hAnsi="Times New Roman"/>
          <w:color w:val="auto"/>
          <w:highlight w:val="none"/>
        </w:rPr>
        <w:t>。</w:t>
      </w:r>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6.1.3 评审小组组建后，评审小组成员共同推选或由采购人指定评审小组组长，评审小组组长负责组织评审工作。</w:t>
      </w:r>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6.1.4 在评审过程中，评审小组成员对需要共同认定的事项存在争议的，将按照少数服从多数的原则作出结论。持不同意见的评审小组成员应当在评审报告上签署不同意见及理由，否则视为同意评审报告。</w:t>
      </w:r>
    </w:p>
    <w:p>
      <w:pPr>
        <w:pStyle w:val="4"/>
        <w:spacing w:line="240" w:lineRule="auto"/>
        <w:ind w:firstLine="137"/>
        <w:rPr>
          <w:rFonts w:ascii="Times New Roman" w:hAnsi="Times New Roman"/>
          <w:color w:val="auto"/>
          <w:highlight w:val="none"/>
        </w:rPr>
      </w:pPr>
      <w:bookmarkStart w:id="181" w:name="_Toc501460687"/>
      <w:bookmarkStart w:id="182" w:name="_Toc6910"/>
      <w:r>
        <w:rPr>
          <w:rFonts w:ascii="Times New Roman" w:hAnsi="Times New Roman"/>
          <w:color w:val="auto"/>
          <w:highlight w:val="none"/>
        </w:rPr>
        <w:t>6.2</w:t>
      </w:r>
      <w:r>
        <w:rPr>
          <w:rFonts w:hint="eastAsia" w:ascii="Times New Roman" w:hAnsi="Times New Roman"/>
          <w:color w:val="auto"/>
          <w:highlight w:val="none"/>
        </w:rPr>
        <w:t>评审</w:t>
      </w:r>
      <w:bookmarkEnd w:id="181"/>
      <w:bookmarkEnd w:id="182"/>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6.</w:t>
      </w:r>
      <w:r>
        <w:rPr>
          <w:rFonts w:hint="eastAsia" w:ascii="Times New Roman" w:hAnsi="Times New Roman"/>
          <w:color w:val="auto"/>
          <w:highlight w:val="none"/>
        </w:rPr>
        <w:t>2</w:t>
      </w:r>
      <w:r>
        <w:rPr>
          <w:rFonts w:ascii="Times New Roman" w:hAnsi="Times New Roman"/>
          <w:color w:val="auto"/>
          <w:highlight w:val="none"/>
        </w:rPr>
        <w:t xml:space="preserve">.1 </w:t>
      </w:r>
      <w:r>
        <w:rPr>
          <w:rFonts w:hint="eastAsia" w:ascii="Times New Roman" w:hAnsi="Times New Roman"/>
          <w:color w:val="auto"/>
          <w:highlight w:val="none"/>
        </w:rPr>
        <w:t>评审小组按照第三章“评审办法”规定的评审标准和程序对响应文件进行评审和比较。</w:t>
      </w:r>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6.2.2 评审完成后，评审小组应当向采购人提交书面评审报告和候选成交供应商名单。评审小组推荐候选成交供应商的排序要求及数量见</w:t>
      </w:r>
      <w:r>
        <w:rPr>
          <w:rFonts w:hint="eastAsia" w:ascii="Times New Roman" w:hAnsi="Times New Roman"/>
          <w:b/>
          <w:color w:val="auto"/>
          <w:highlight w:val="none"/>
        </w:rPr>
        <w:t>供应商须知前附表</w:t>
      </w:r>
      <w:r>
        <w:rPr>
          <w:rFonts w:hint="eastAsia" w:ascii="Times New Roman" w:hAnsi="Times New Roman"/>
          <w:color w:val="auto"/>
          <w:highlight w:val="none"/>
        </w:rPr>
        <w:t>。</w:t>
      </w:r>
    </w:p>
    <w:p>
      <w:pPr>
        <w:pStyle w:val="3"/>
        <w:rPr>
          <w:rFonts w:ascii="Times New Roman" w:hAnsi="Times New Roman"/>
          <w:color w:val="auto"/>
          <w:highlight w:val="none"/>
        </w:rPr>
      </w:pPr>
      <w:bookmarkStart w:id="183" w:name="_Toc501460689"/>
      <w:bookmarkStart w:id="184" w:name="_Toc8702"/>
      <w:r>
        <w:rPr>
          <w:rFonts w:ascii="Times New Roman" w:hAnsi="Times New Roman"/>
          <w:color w:val="auto"/>
          <w:highlight w:val="none"/>
        </w:rPr>
        <w:t>7. 合同授予</w:t>
      </w:r>
      <w:bookmarkEnd w:id="183"/>
      <w:bookmarkEnd w:id="184"/>
    </w:p>
    <w:p>
      <w:pPr>
        <w:pStyle w:val="4"/>
        <w:spacing w:line="240" w:lineRule="auto"/>
        <w:ind w:firstLine="137"/>
        <w:rPr>
          <w:rFonts w:ascii="Times New Roman" w:hAnsi="Times New Roman"/>
          <w:color w:val="auto"/>
          <w:highlight w:val="none"/>
        </w:rPr>
      </w:pPr>
      <w:bookmarkStart w:id="185" w:name="_Toc501460692"/>
      <w:bookmarkStart w:id="186" w:name="_Toc27043"/>
      <w:bookmarkStart w:id="187" w:name="_Toc501460690"/>
      <w:r>
        <w:rPr>
          <w:rFonts w:ascii="Times New Roman" w:hAnsi="Times New Roman"/>
          <w:color w:val="auto"/>
          <w:highlight w:val="none"/>
        </w:rPr>
        <w:t>7.</w:t>
      </w:r>
      <w:r>
        <w:rPr>
          <w:rFonts w:hint="eastAsia" w:ascii="Times New Roman" w:hAnsi="Times New Roman"/>
          <w:color w:val="auto"/>
          <w:highlight w:val="none"/>
        </w:rPr>
        <w:t>1</w:t>
      </w:r>
      <w:r>
        <w:rPr>
          <w:rFonts w:ascii="Times New Roman" w:hAnsi="Times New Roman"/>
          <w:color w:val="auto"/>
          <w:highlight w:val="none"/>
        </w:rPr>
        <w:t xml:space="preserve"> </w:t>
      </w:r>
      <w:r>
        <w:rPr>
          <w:rFonts w:hint="eastAsia" w:ascii="Times New Roman" w:hAnsi="Times New Roman"/>
          <w:color w:val="auto"/>
          <w:highlight w:val="none"/>
        </w:rPr>
        <w:t>候选成交供应商</w:t>
      </w:r>
      <w:r>
        <w:rPr>
          <w:rFonts w:ascii="Times New Roman" w:hAnsi="Times New Roman"/>
          <w:color w:val="auto"/>
          <w:highlight w:val="none"/>
        </w:rPr>
        <w:t>履约能力</w:t>
      </w:r>
      <w:bookmarkEnd w:id="185"/>
      <w:r>
        <w:rPr>
          <w:rFonts w:hint="eastAsia" w:ascii="Times New Roman" w:hAnsi="Times New Roman"/>
          <w:color w:val="auto"/>
          <w:highlight w:val="none"/>
        </w:rPr>
        <w:t>核查</w:t>
      </w:r>
      <w:bookmarkEnd w:id="186"/>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预成交供应商的依据之一。</w:t>
      </w:r>
    </w:p>
    <w:p>
      <w:pPr>
        <w:pStyle w:val="4"/>
        <w:spacing w:line="240" w:lineRule="auto"/>
        <w:ind w:firstLine="137"/>
        <w:rPr>
          <w:rFonts w:ascii="Times New Roman" w:hAnsi="Times New Roman"/>
          <w:color w:val="auto"/>
          <w:highlight w:val="none"/>
        </w:rPr>
      </w:pPr>
      <w:bookmarkStart w:id="188" w:name="_Toc16633"/>
      <w:r>
        <w:rPr>
          <w:rFonts w:hint="eastAsia" w:ascii="Times New Roman" w:hAnsi="Times New Roman"/>
          <w:color w:val="auto"/>
          <w:highlight w:val="none"/>
        </w:rPr>
        <w:t xml:space="preserve">7.2 </w:t>
      </w:r>
      <w:r>
        <w:rPr>
          <w:rFonts w:ascii="Times New Roman" w:hAnsi="Times New Roman"/>
          <w:color w:val="auto"/>
          <w:highlight w:val="none"/>
        </w:rPr>
        <w:t>确定</w:t>
      </w:r>
      <w:r>
        <w:rPr>
          <w:rFonts w:hint="eastAsia" w:ascii="Times New Roman" w:hAnsi="Times New Roman"/>
          <w:color w:val="auto"/>
          <w:highlight w:val="none"/>
        </w:rPr>
        <w:t>预</w:t>
      </w:r>
      <w:r>
        <w:rPr>
          <w:rFonts w:ascii="Times New Roman" w:hAnsi="Times New Roman"/>
          <w:color w:val="auto"/>
          <w:highlight w:val="none"/>
        </w:rPr>
        <w:t>成交供应商</w:t>
      </w:r>
      <w:bookmarkEnd w:id="188"/>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采购人将根据评审报告及核查结果（如有），对候选成交供应商综合评估后从中选择确定预成交供应商。</w:t>
      </w:r>
    </w:p>
    <w:p>
      <w:pPr>
        <w:pStyle w:val="4"/>
        <w:spacing w:line="240" w:lineRule="auto"/>
        <w:ind w:firstLine="137"/>
        <w:rPr>
          <w:rFonts w:ascii="Times New Roman" w:hAnsi="Times New Roman"/>
          <w:color w:val="auto"/>
          <w:highlight w:val="none"/>
        </w:rPr>
      </w:pPr>
      <w:bookmarkStart w:id="189" w:name="_Toc9108"/>
      <w:r>
        <w:rPr>
          <w:rFonts w:ascii="Times New Roman" w:hAnsi="Times New Roman"/>
          <w:color w:val="auto"/>
          <w:highlight w:val="none"/>
        </w:rPr>
        <w:t>7.</w:t>
      </w:r>
      <w:r>
        <w:rPr>
          <w:rFonts w:hint="eastAsia" w:ascii="Times New Roman" w:hAnsi="Times New Roman"/>
          <w:color w:val="auto"/>
          <w:highlight w:val="none"/>
        </w:rPr>
        <w:t>3</w:t>
      </w:r>
      <w:r>
        <w:rPr>
          <w:rFonts w:ascii="Times New Roman" w:hAnsi="Times New Roman"/>
          <w:color w:val="auto"/>
          <w:highlight w:val="none"/>
        </w:rPr>
        <w:t xml:space="preserve"> </w:t>
      </w:r>
      <w:r>
        <w:rPr>
          <w:rFonts w:hint="eastAsia" w:ascii="Times New Roman" w:hAnsi="Times New Roman"/>
          <w:color w:val="auto"/>
          <w:highlight w:val="none"/>
        </w:rPr>
        <w:t>预成交结果</w:t>
      </w:r>
      <w:r>
        <w:rPr>
          <w:rFonts w:ascii="Times New Roman" w:hAnsi="Times New Roman"/>
          <w:color w:val="auto"/>
          <w:highlight w:val="none"/>
        </w:rPr>
        <w:t>公示</w:t>
      </w:r>
      <w:bookmarkEnd w:id="187"/>
      <w:bookmarkEnd w:id="189"/>
    </w:p>
    <w:p>
      <w:pPr>
        <w:spacing w:line="400" w:lineRule="exact"/>
        <w:ind w:firstLine="420" w:firstLineChars="200"/>
        <w:rPr>
          <w:rFonts w:ascii="Times New Roman" w:hAnsi="Times New Roman"/>
          <w:iCs/>
          <w:color w:val="auto"/>
          <w:highlight w:val="none"/>
        </w:rPr>
      </w:pPr>
      <w:r>
        <w:rPr>
          <w:rFonts w:hint="eastAsia" w:ascii="Times New Roman" w:hAnsi="Times New Roman"/>
          <w:color w:val="auto"/>
          <w:highlight w:val="none"/>
        </w:rPr>
        <w:t>预成交供应商选定后，</w:t>
      </w:r>
      <w:r>
        <w:rPr>
          <w:rFonts w:hint="eastAsia" w:ascii="Times New Roman" w:hAnsi="Times New Roman"/>
          <w:iCs/>
          <w:color w:val="auto"/>
          <w:highlight w:val="none"/>
        </w:rPr>
        <w:t>采购人将按照</w:t>
      </w:r>
      <w:r>
        <w:rPr>
          <w:rFonts w:hint="eastAsia" w:ascii="黑体" w:hAnsi="黑体" w:eastAsia="黑体" w:cs="黑体"/>
          <w:iCs/>
          <w:color w:val="auto"/>
          <w:highlight w:val="none"/>
        </w:rPr>
        <w:t>供应商须知前附表规定的</w:t>
      </w:r>
      <w:r>
        <w:rPr>
          <w:rFonts w:hint="eastAsia" w:ascii="Times New Roman" w:hAnsi="Times New Roman"/>
          <w:color w:val="auto"/>
          <w:highlight w:val="none"/>
        </w:rPr>
        <w:t>公示媒介和公示期限</w:t>
      </w:r>
      <w:r>
        <w:rPr>
          <w:rFonts w:hint="eastAsia" w:ascii="Times New Roman" w:hAnsi="Times New Roman"/>
          <w:iCs/>
          <w:color w:val="auto"/>
          <w:highlight w:val="none"/>
        </w:rPr>
        <w:t>进行公示，公示信息包括如下内容：</w:t>
      </w:r>
    </w:p>
    <w:p>
      <w:pPr>
        <w:spacing w:line="400" w:lineRule="exact"/>
        <w:ind w:firstLine="420" w:firstLineChars="200"/>
        <w:rPr>
          <w:rFonts w:ascii="Times New Roman" w:hAnsi="Times New Roman"/>
          <w:color w:val="auto"/>
          <w:highlight w:val="none"/>
        </w:rPr>
      </w:pPr>
      <w:r>
        <w:rPr>
          <w:rFonts w:hint="eastAsia" w:ascii="Times New Roman" w:hAnsi="Times New Roman"/>
          <w:iCs/>
          <w:color w:val="auto"/>
          <w:highlight w:val="none"/>
        </w:rPr>
        <w:t>（1）所有</w:t>
      </w:r>
      <w:r>
        <w:rPr>
          <w:rFonts w:hint="eastAsia" w:ascii="Times New Roman" w:hAnsi="Times New Roman"/>
          <w:color w:val="auto"/>
          <w:highlight w:val="none"/>
        </w:rPr>
        <w:t>候选成交供应商名称、响应价格及交货期；</w:t>
      </w:r>
    </w:p>
    <w:p>
      <w:pPr>
        <w:tabs>
          <w:tab w:val="left" w:pos="7471"/>
        </w:tabs>
        <w:spacing w:line="400" w:lineRule="exact"/>
        <w:ind w:firstLine="420" w:firstLineChars="200"/>
        <w:rPr>
          <w:rFonts w:hint="eastAsia" w:ascii="Times New Roman" w:hAnsi="Times New Roman" w:eastAsia="宋体"/>
          <w:color w:val="auto"/>
          <w:highlight w:val="none"/>
          <w:lang w:eastAsia="zh-CN"/>
        </w:rPr>
      </w:pPr>
      <w:r>
        <w:rPr>
          <w:rFonts w:hint="eastAsia" w:ascii="Times New Roman" w:hAnsi="Times New Roman"/>
          <w:color w:val="auto"/>
          <w:highlight w:val="none"/>
        </w:rPr>
        <w:t>（2）预成交供应商名称、预成交份额（如有）及选择原因；</w:t>
      </w:r>
      <w:r>
        <w:rPr>
          <w:rFonts w:hint="eastAsia" w:ascii="Times New Roman" w:hAnsi="Times New Roman"/>
          <w:color w:val="auto"/>
          <w:highlight w:val="none"/>
          <w:lang w:eastAsia="zh-CN"/>
        </w:rPr>
        <w:tab/>
      </w:r>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3</w:t>
      </w:r>
      <w:r>
        <w:rPr>
          <w:rFonts w:hint="eastAsia" w:ascii="Times New Roman" w:hAnsi="Times New Roman"/>
          <w:color w:val="auto"/>
          <w:highlight w:val="none"/>
        </w:rPr>
        <w:t>）</w:t>
      </w:r>
      <w:r>
        <w:rPr>
          <w:rFonts w:hint="eastAsia" w:ascii="黑体" w:hAnsi="黑体" w:eastAsia="黑体" w:cs="黑体"/>
          <w:iCs/>
          <w:color w:val="auto"/>
          <w:highlight w:val="none"/>
        </w:rPr>
        <w:t>供应商须知前附表规定的其他内容。</w:t>
      </w:r>
    </w:p>
    <w:p>
      <w:pPr>
        <w:pStyle w:val="4"/>
        <w:spacing w:line="240" w:lineRule="auto"/>
        <w:ind w:firstLine="137"/>
        <w:rPr>
          <w:rFonts w:ascii="Times New Roman" w:hAnsi="Times New Roman"/>
          <w:color w:val="auto"/>
          <w:highlight w:val="none"/>
        </w:rPr>
      </w:pPr>
      <w:bookmarkStart w:id="190" w:name="_Toc501460694"/>
      <w:bookmarkStart w:id="191" w:name="_Toc10139"/>
      <w:r>
        <w:rPr>
          <w:rFonts w:ascii="Times New Roman" w:hAnsi="Times New Roman"/>
          <w:color w:val="auto"/>
          <w:highlight w:val="none"/>
        </w:rPr>
        <w:t>7.</w:t>
      </w:r>
      <w:r>
        <w:rPr>
          <w:rFonts w:hint="eastAsia" w:ascii="Times New Roman" w:hAnsi="Times New Roman"/>
          <w:color w:val="auto"/>
          <w:highlight w:val="none"/>
        </w:rPr>
        <w:t>4</w:t>
      </w:r>
      <w:r>
        <w:rPr>
          <w:rFonts w:ascii="Times New Roman" w:hAnsi="Times New Roman"/>
          <w:color w:val="auto"/>
          <w:highlight w:val="none"/>
        </w:rPr>
        <w:t xml:space="preserve"> </w:t>
      </w:r>
      <w:r>
        <w:rPr>
          <w:rFonts w:hint="eastAsia" w:ascii="Times New Roman" w:hAnsi="Times New Roman"/>
          <w:color w:val="auto"/>
          <w:highlight w:val="none"/>
        </w:rPr>
        <w:t>发出成交</w:t>
      </w:r>
      <w:r>
        <w:rPr>
          <w:rFonts w:ascii="Times New Roman" w:hAnsi="Times New Roman"/>
          <w:color w:val="auto"/>
          <w:highlight w:val="none"/>
        </w:rPr>
        <w:t>通知</w:t>
      </w:r>
      <w:bookmarkEnd w:id="190"/>
      <w:r>
        <w:rPr>
          <w:rFonts w:hint="eastAsia" w:ascii="Times New Roman" w:hAnsi="Times New Roman"/>
          <w:color w:val="auto"/>
          <w:highlight w:val="none"/>
        </w:rPr>
        <w:t>书</w:t>
      </w:r>
      <w:bookmarkEnd w:id="191"/>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公示期结束后，</w:t>
      </w:r>
      <w:r>
        <w:rPr>
          <w:rFonts w:ascii="Times New Roman" w:hAnsi="Times New Roman"/>
          <w:color w:val="auto"/>
          <w:highlight w:val="none"/>
        </w:rPr>
        <w:t>在本章第3.3款规定的</w:t>
      </w:r>
      <w:r>
        <w:rPr>
          <w:rFonts w:hint="eastAsia" w:ascii="Times New Roman" w:hAnsi="Times New Roman"/>
          <w:color w:val="auto"/>
          <w:highlight w:val="none"/>
        </w:rPr>
        <w:t>响应文件有效期</w:t>
      </w:r>
      <w:r>
        <w:rPr>
          <w:rFonts w:ascii="Times New Roman" w:hAnsi="Times New Roman"/>
          <w:color w:val="auto"/>
          <w:highlight w:val="none"/>
        </w:rPr>
        <w:t>内，</w:t>
      </w:r>
      <w:r>
        <w:rPr>
          <w:rFonts w:hint="eastAsia" w:ascii="Times New Roman" w:hAnsi="Times New Roman"/>
          <w:color w:val="auto"/>
          <w:highlight w:val="none"/>
        </w:rPr>
        <w:t>采购人</w:t>
      </w:r>
      <w:r>
        <w:rPr>
          <w:rFonts w:ascii="Times New Roman" w:hAnsi="Times New Roman"/>
          <w:color w:val="auto"/>
          <w:highlight w:val="none"/>
        </w:rPr>
        <w:t>以书面形式向</w:t>
      </w:r>
      <w:r>
        <w:rPr>
          <w:rFonts w:hint="eastAsia" w:ascii="Times New Roman" w:hAnsi="Times New Roman"/>
          <w:color w:val="auto"/>
          <w:highlight w:val="none"/>
        </w:rPr>
        <w:t>预成交供应商</w:t>
      </w:r>
      <w:r>
        <w:rPr>
          <w:rFonts w:ascii="Times New Roman" w:hAnsi="Times New Roman"/>
          <w:color w:val="auto"/>
          <w:highlight w:val="none"/>
        </w:rPr>
        <w:t>发出</w:t>
      </w:r>
      <w:bookmarkStart w:id="192" w:name="_Toc352691506"/>
      <w:bookmarkStart w:id="193" w:name="_Toc300834983"/>
      <w:bookmarkStart w:id="194" w:name="_Toc384308244"/>
      <w:bookmarkStart w:id="195" w:name="_Toc5668"/>
      <w:bookmarkStart w:id="196" w:name="_Toc369531550"/>
      <w:bookmarkStart w:id="197" w:name="_Toc361508619"/>
      <w:r>
        <w:rPr>
          <w:rFonts w:hint="eastAsia" w:ascii="Times New Roman" w:hAnsi="Times New Roman"/>
          <w:color w:val="auto"/>
          <w:highlight w:val="none"/>
        </w:rPr>
        <w:t>成交</w:t>
      </w:r>
      <w:r>
        <w:rPr>
          <w:rFonts w:ascii="Times New Roman" w:hAnsi="Times New Roman"/>
          <w:color w:val="auto"/>
          <w:highlight w:val="none"/>
        </w:rPr>
        <w:t>通知书</w:t>
      </w:r>
      <w:bookmarkEnd w:id="192"/>
      <w:bookmarkEnd w:id="193"/>
      <w:bookmarkEnd w:id="194"/>
      <w:bookmarkEnd w:id="195"/>
      <w:bookmarkEnd w:id="196"/>
      <w:bookmarkEnd w:id="197"/>
      <w:r>
        <w:rPr>
          <w:rFonts w:ascii="Times New Roman" w:hAnsi="Times New Roman"/>
          <w:color w:val="auto"/>
          <w:highlight w:val="none"/>
        </w:rPr>
        <w:t>。</w:t>
      </w:r>
    </w:p>
    <w:p>
      <w:pPr>
        <w:pStyle w:val="4"/>
        <w:spacing w:line="240" w:lineRule="auto"/>
        <w:ind w:firstLine="137"/>
        <w:rPr>
          <w:rFonts w:ascii="Times New Roman" w:hAnsi="Times New Roman"/>
          <w:color w:val="auto"/>
          <w:highlight w:val="none"/>
        </w:rPr>
      </w:pPr>
      <w:bookmarkStart w:id="198" w:name="_Toc9969"/>
      <w:r>
        <w:rPr>
          <w:rFonts w:ascii="Times New Roman" w:hAnsi="Times New Roman"/>
          <w:color w:val="auto"/>
          <w:highlight w:val="none"/>
        </w:rPr>
        <w:t>7.</w:t>
      </w:r>
      <w:r>
        <w:rPr>
          <w:rFonts w:hint="eastAsia" w:ascii="Times New Roman" w:hAnsi="Times New Roman"/>
          <w:color w:val="auto"/>
          <w:highlight w:val="none"/>
        </w:rPr>
        <w:t>5</w:t>
      </w:r>
      <w:r>
        <w:rPr>
          <w:rFonts w:ascii="Times New Roman" w:hAnsi="Times New Roman"/>
          <w:color w:val="auto"/>
          <w:highlight w:val="none"/>
        </w:rPr>
        <w:t xml:space="preserve"> </w:t>
      </w:r>
      <w:r>
        <w:rPr>
          <w:rFonts w:hint="eastAsia" w:ascii="Times New Roman" w:hAnsi="Times New Roman"/>
          <w:color w:val="auto"/>
          <w:highlight w:val="none"/>
        </w:rPr>
        <w:t>发布成交公告</w:t>
      </w:r>
      <w:bookmarkEnd w:id="198"/>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在发出成交通知书的同时，采购人将在供应商须知前附表规定的公告媒介发布成交公告，公告信息包括成交供应商名称、响应价格及交货期、成交份额（如有）及供应商须知前附表规定的其他内容。</w:t>
      </w:r>
    </w:p>
    <w:p>
      <w:pPr>
        <w:pStyle w:val="4"/>
        <w:spacing w:line="240" w:lineRule="auto"/>
        <w:ind w:firstLine="137"/>
        <w:rPr>
          <w:rFonts w:ascii="Times New Roman" w:hAnsi="Times New Roman"/>
          <w:color w:val="auto"/>
          <w:highlight w:val="none"/>
        </w:rPr>
      </w:pPr>
      <w:bookmarkStart w:id="199" w:name="_Toc501460695"/>
      <w:bookmarkStart w:id="200" w:name="_Toc6621"/>
      <w:r>
        <w:rPr>
          <w:rFonts w:ascii="Times New Roman" w:hAnsi="Times New Roman"/>
          <w:color w:val="auto"/>
          <w:highlight w:val="none"/>
        </w:rPr>
        <w:t>7.</w:t>
      </w:r>
      <w:r>
        <w:rPr>
          <w:rFonts w:hint="eastAsia" w:ascii="Times New Roman" w:hAnsi="Times New Roman"/>
          <w:color w:val="auto"/>
          <w:highlight w:val="none"/>
        </w:rPr>
        <w:t>6</w:t>
      </w:r>
      <w:r>
        <w:rPr>
          <w:rFonts w:ascii="Times New Roman" w:hAnsi="Times New Roman"/>
          <w:color w:val="auto"/>
          <w:highlight w:val="none"/>
        </w:rPr>
        <w:t xml:space="preserve"> 履约保证金</w:t>
      </w:r>
      <w:bookmarkEnd w:id="199"/>
      <w:bookmarkEnd w:id="200"/>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供应商须知</w:t>
      </w:r>
      <w:r>
        <w:rPr>
          <w:rFonts w:hint="eastAsia" w:ascii="Times New Roman" w:hAnsi="Times New Roman"/>
          <w:color w:val="auto"/>
          <w:highlight w:val="none"/>
          <w:lang w:eastAsia="zh-CN"/>
        </w:rPr>
        <w:t>如</w:t>
      </w:r>
      <w:r>
        <w:rPr>
          <w:rFonts w:hint="eastAsia" w:ascii="Times New Roman" w:hAnsi="Times New Roman"/>
          <w:color w:val="auto"/>
          <w:highlight w:val="none"/>
        </w:rPr>
        <w:t>前附表规定递交履约保证金的，成交供应商</w:t>
      </w:r>
      <w:r>
        <w:rPr>
          <w:rFonts w:ascii="Times New Roman" w:hAnsi="Times New Roman"/>
          <w:color w:val="auto"/>
          <w:highlight w:val="none"/>
        </w:rPr>
        <w:t>应按</w:t>
      </w:r>
      <w:r>
        <w:rPr>
          <w:rFonts w:hint="eastAsia" w:ascii="黑体" w:hAnsi="黑体" w:eastAsia="黑体" w:cs="黑体"/>
          <w:iCs/>
          <w:color w:val="auto"/>
          <w:highlight w:val="none"/>
        </w:rPr>
        <w:t>供应商须知前附表</w:t>
      </w:r>
      <w:r>
        <w:rPr>
          <w:rFonts w:ascii="Times New Roman" w:hAnsi="Times New Roman"/>
          <w:color w:val="auto"/>
          <w:highlight w:val="none"/>
        </w:rPr>
        <w:t>规定的形式、</w:t>
      </w:r>
      <w:r>
        <w:rPr>
          <w:rFonts w:hint="eastAsia" w:ascii="Times New Roman" w:hAnsi="Times New Roman"/>
          <w:color w:val="auto"/>
          <w:highlight w:val="none"/>
        </w:rPr>
        <w:t>有效期限</w:t>
      </w:r>
      <w:r>
        <w:rPr>
          <w:rFonts w:ascii="Times New Roman" w:hAnsi="Times New Roman"/>
          <w:color w:val="auto"/>
          <w:highlight w:val="none"/>
        </w:rPr>
        <w:t>和</w:t>
      </w:r>
      <w:r>
        <w:rPr>
          <w:rFonts w:hint="eastAsia" w:ascii="Times New Roman" w:hAnsi="Times New Roman"/>
          <w:color w:val="auto"/>
          <w:highlight w:val="none"/>
        </w:rPr>
        <w:t>递交时间</w:t>
      </w:r>
      <w:r>
        <w:rPr>
          <w:rFonts w:ascii="Times New Roman" w:hAnsi="Times New Roman"/>
          <w:color w:val="auto"/>
          <w:highlight w:val="none"/>
        </w:rPr>
        <w:t>向</w:t>
      </w:r>
      <w:r>
        <w:rPr>
          <w:rFonts w:hint="eastAsia" w:ascii="Times New Roman" w:hAnsi="Times New Roman"/>
          <w:color w:val="auto"/>
          <w:highlight w:val="none"/>
        </w:rPr>
        <w:t>采购人递交</w:t>
      </w:r>
      <w:r>
        <w:rPr>
          <w:rFonts w:ascii="Times New Roman" w:hAnsi="Times New Roman"/>
          <w:color w:val="auto"/>
          <w:highlight w:val="none"/>
        </w:rPr>
        <w:t>履约保证金。除</w:t>
      </w:r>
      <w:r>
        <w:rPr>
          <w:rFonts w:hint="eastAsia" w:ascii="黑体" w:hAnsi="黑体" w:eastAsia="黑体" w:cs="黑体"/>
          <w:iCs/>
          <w:color w:val="auto"/>
          <w:highlight w:val="none"/>
        </w:rPr>
        <w:t>供应商须知前附表</w:t>
      </w:r>
      <w:r>
        <w:rPr>
          <w:rFonts w:ascii="Times New Roman" w:hAnsi="Times New Roman"/>
          <w:color w:val="auto"/>
          <w:highlight w:val="none"/>
        </w:rPr>
        <w:t>另有规定外，履约保证金为</w:t>
      </w:r>
      <w:r>
        <w:rPr>
          <w:rFonts w:hint="eastAsia" w:ascii="Times New Roman" w:hAnsi="Times New Roman"/>
          <w:color w:val="auto"/>
          <w:highlight w:val="none"/>
        </w:rPr>
        <w:t>采购</w:t>
      </w:r>
      <w:r>
        <w:rPr>
          <w:rFonts w:ascii="Times New Roman" w:hAnsi="Times New Roman"/>
          <w:color w:val="auto"/>
          <w:highlight w:val="none"/>
        </w:rPr>
        <w:t>合同金额的</w:t>
      </w:r>
      <w:r>
        <w:rPr>
          <w:rFonts w:hint="eastAsia" w:ascii="Times New Roman" w:hAnsi="Times New Roman"/>
          <w:color w:val="auto"/>
          <w:highlight w:val="none"/>
        </w:rPr>
        <w:t>5</w:t>
      </w:r>
      <w:r>
        <w:rPr>
          <w:rFonts w:ascii="Times New Roman" w:hAnsi="Times New Roman"/>
          <w:color w:val="auto"/>
          <w:highlight w:val="none"/>
        </w:rPr>
        <w:t>%。</w:t>
      </w:r>
    </w:p>
    <w:p>
      <w:pPr>
        <w:pStyle w:val="4"/>
        <w:spacing w:line="240" w:lineRule="auto"/>
        <w:ind w:firstLine="137"/>
        <w:rPr>
          <w:rFonts w:ascii="Times New Roman" w:hAnsi="Times New Roman"/>
          <w:color w:val="auto"/>
          <w:highlight w:val="none"/>
        </w:rPr>
      </w:pPr>
      <w:bookmarkStart w:id="201" w:name="_Toc501460696"/>
      <w:bookmarkStart w:id="202" w:name="_Toc29885"/>
      <w:r>
        <w:rPr>
          <w:rFonts w:ascii="Times New Roman" w:hAnsi="Times New Roman"/>
          <w:color w:val="auto"/>
          <w:highlight w:val="none"/>
        </w:rPr>
        <w:t>7.7 签订合同</w:t>
      </w:r>
      <w:bookmarkEnd w:id="201"/>
      <w:bookmarkEnd w:id="202"/>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 xml:space="preserve">7.7.1 </w:t>
      </w:r>
      <w:r>
        <w:rPr>
          <w:rFonts w:hint="eastAsia" w:ascii="Times New Roman" w:hAnsi="Times New Roman"/>
          <w:color w:val="auto"/>
          <w:highlight w:val="none"/>
        </w:rPr>
        <w:t>采购人</w:t>
      </w:r>
      <w:r>
        <w:rPr>
          <w:rFonts w:ascii="Times New Roman" w:hAnsi="Times New Roman"/>
          <w:color w:val="auto"/>
          <w:highlight w:val="none"/>
        </w:rPr>
        <w:t>和</w:t>
      </w:r>
      <w:r>
        <w:rPr>
          <w:rFonts w:hint="eastAsia" w:ascii="Times New Roman" w:hAnsi="Times New Roman"/>
          <w:color w:val="auto"/>
          <w:highlight w:val="none"/>
        </w:rPr>
        <w:t>成交供应商</w:t>
      </w:r>
      <w:r>
        <w:rPr>
          <w:rFonts w:ascii="Times New Roman" w:hAnsi="Times New Roman"/>
          <w:color w:val="auto"/>
          <w:highlight w:val="none"/>
        </w:rPr>
        <w:t>应当在</w:t>
      </w:r>
      <w:r>
        <w:rPr>
          <w:rFonts w:hint="eastAsia" w:ascii="Times New Roman" w:hAnsi="Times New Roman"/>
          <w:color w:val="auto"/>
          <w:highlight w:val="none"/>
        </w:rPr>
        <w:t>成交</w:t>
      </w:r>
      <w:r>
        <w:rPr>
          <w:rFonts w:ascii="Times New Roman" w:hAnsi="Times New Roman"/>
          <w:color w:val="auto"/>
          <w:highlight w:val="none"/>
        </w:rPr>
        <w:t>通知书</w:t>
      </w:r>
      <w:r>
        <w:rPr>
          <w:rFonts w:hint="eastAsia" w:ascii="Times New Roman" w:hAnsi="Times New Roman"/>
          <w:color w:val="auto"/>
          <w:highlight w:val="none"/>
        </w:rPr>
        <w:t>规定的期限内，根据采购文件</w:t>
      </w:r>
      <w:r>
        <w:rPr>
          <w:rFonts w:ascii="Times New Roman" w:hAnsi="Times New Roman"/>
          <w:color w:val="auto"/>
          <w:highlight w:val="none"/>
        </w:rPr>
        <w:t>和</w:t>
      </w:r>
      <w:r>
        <w:rPr>
          <w:rFonts w:hint="eastAsia" w:ascii="Times New Roman" w:hAnsi="Times New Roman"/>
          <w:color w:val="auto"/>
          <w:highlight w:val="none"/>
        </w:rPr>
        <w:t>成交供应商</w:t>
      </w:r>
      <w:r>
        <w:rPr>
          <w:rFonts w:ascii="Times New Roman" w:hAnsi="Times New Roman"/>
          <w:color w:val="auto"/>
          <w:highlight w:val="none"/>
        </w:rPr>
        <w:t>的</w:t>
      </w:r>
      <w:r>
        <w:rPr>
          <w:rFonts w:hint="eastAsia" w:ascii="Times New Roman" w:hAnsi="Times New Roman"/>
          <w:color w:val="auto"/>
          <w:highlight w:val="none"/>
        </w:rPr>
        <w:t>响应文件</w:t>
      </w:r>
      <w:r>
        <w:rPr>
          <w:rFonts w:ascii="Times New Roman" w:hAnsi="Times New Roman"/>
          <w:color w:val="auto"/>
          <w:highlight w:val="none"/>
        </w:rPr>
        <w:t>订立书面合同。</w:t>
      </w:r>
      <w:r>
        <w:rPr>
          <w:rFonts w:hint="eastAsia" w:ascii="Times New Roman" w:hAnsi="Times New Roman"/>
          <w:color w:val="auto"/>
          <w:highlight w:val="none"/>
        </w:rPr>
        <w:t>成交供应商</w:t>
      </w:r>
      <w:r>
        <w:rPr>
          <w:color w:val="auto"/>
          <w:highlight w:val="none"/>
        </w:rPr>
        <w:t>无正当理由</w:t>
      </w:r>
      <w:r>
        <w:rPr>
          <w:rFonts w:hint="eastAsia"/>
          <w:color w:val="auto"/>
          <w:highlight w:val="none"/>
        </w:rPr>
        <w:t>拒绝签订</w:t>
      </w:r>
      <w:r>
        <w:rPr>
          <w:color w:val="auto"/>
          <w:highlight w:val="none"/>
        </w:rPr>
        <w:t>合同，在签订合同时向</w:t>
      </w:r>
      <w:r>
        <w:rPr>
          <w:rFonts w:hint="eastAsia"/>
          <w:color w:val="auto"/>
          <w:highlight w:val="none"/>
        </w:rPr>
        <w:t>采购人</w:t>
      </w:r>
      <w:r>
        <w:rPr>
          <w:color w:val="auto"/>
          <w:highlight w:val="none"/>
        </w:rPr>
        <w:t>提出附加条件，或者不按照</w:t>
      </w:r>
      <w:r>
        <w:rPr>
          <w:rFonts w:hint="eastAsia"/>
          <w:color w:val="auto"/>
          <w:highlight w:val="none"/>
        </w:rPr>
        <w:t>采购文件</w:t>
      </w:r>
      <w:r>
        <w:rPr>
          <w:color w:val="auto"/>
          <w:highlight w:val="none"/>
        </w:rPr>
        <w:t>要求</w:t>
      </w:r>
      <w:r>
        <w:rPr>
          <w:rFonts w:hint="eastAsia"/>
          <w:color w:val="auto"/>
          <w:highlight w:val="none"/>
        </w:rPr>
        <w:t>递交</w:t>
      </w:r>
      <w:r>
        <w:rPr>
          <w:color w:val="auto"/>
          <w:highlight w:val="none"/>
        </w:rPr>
        <w:t>履约保证金的</w:t>
      </w:r>
      <w:r>
        <w:rPr>
          <w:rFonts w:ascii="Times New Roman" w:hAnsi="Times New Roman"/>
          <w:color w:val="auto"/>
          <w:highlight w:val="none"/>
        </w:rPr>
        <w:t>，</w:t>
      </w:r>
      <w:r>
        <w:rPr>
          <w:rFonts w:hint="eastAsia" w:ascii="Times New Roman" w:hAnsi="Times New Roman"/>
          <w:color w:val="auto"/>
          <w:highlight w:val="none"/>
        </w:rPr>
        <w:t>采购人</w:t>
      </w:r>
      <w:r>
        <w:rPr>
          <w:rFonts w:ascii="Times New Roman" w:hAnsi="Times New Roman"/>
          <w:color w:val="auto"/>
          <w:highlight w:val="none"/>
        </w:rPr>
        <w:t>取消其</w:t>
      </w:r>
      <w:r>
        <w:rPr>
          <w:rFonts w:hint="eastAsia" w:ascii="Times New Roman" w:hAnsi="Times New Roman"/>
          <w:color w:val="auto"/>
          <w:highlight w:val="none"/>
        </w:rPr>
        <w:t>成交</w:t>
      </w:r>
      <w:r>
        <w:rPr>
          <w:rFonts w:ascii="Times New Roman" w:hAnsi="Times New Roman"/>
          <w:color w:val="auto"/>
          <w:highlight w:val="none"/>
        </w:rPr>
        <w:t>资格，其</w:t>
      </w:r>
      <w:r>
        <w:rPr>
          <w:rFonts w:hint="eastAsia" w:ascii="Times New Roman" w:hAnsi="Times New Roman"/>
          <w:color w:val="auto"/>
          <w:highlight w:val="none"/>
        </w:rPr>
        <w:t>响应保证金</w:t>
      </w:r>
      <w:r>
        <w:rPr>
          <w:rFonts w:ascii="Times New Roman" w:hAnsi="Times New Roman"/>
          <w:color w:val="auto"/>
          <w:highlight w:val="none"/>
        </w:rPr>
        <w:t>不予退还；给</w:t>
      </w:r>
      <w:r>
        <w:rPr>
          <w:rFonts w:hint="eastAsia" w:ascii="Times New Roman" w:hAnsi="Times New Roman"/>
          <w:color w:val="auto"/>
          <w:highlight w:val="none"/>
        </w:rPr>
        <w:t>采购人</w:t>
      </w:r>
      <w:r>
        <w:rPr>
          <w:rFonts w:ascii="Times New Roman" w:hAnsi="Times New Roman"/>
          <w:color w:val="auto"/>
          <w:highlight w:val="none"/>
        </w:rPr>
        <w:t>造成的损失超过</w:t>
      </w:r>
      <w:r>
        <w:rPr>
          <w:rFonts w:hint="eastAsia" w:ascii="Times New Roman" w:hAnsi="Times New Roman"/>
          <w:color w:val="auto"/>
          <w:highlight w:val="none"/>
        </w:rPr>
        <w:t>响应保证金</w:t>
      </w:r>
      <w:r>
        <w:rPr>
          <w:rFonts w:ascii="Times New Roman" w:hAnsi="Times New Roman"/>
          <w:color w:val="auto"/>
          <w:highlight w:val="none"/>
        </w:rPr>
        <w:t>数额的，</w:t>
      </w:r>
      <w:r>
        <w:rPr>
          <w:rFonts w:hint="eastAsia" w:ascii="Times New Roman" w:hAnsi="Times New Roman"/>
          <w:color w:val="auto"/>
          <w:highlight w:val="none"/>
        </w:rPr>
        <w:t>成交供应商</w:t>
      </w:r>
      <w:r>
        <w:rPr>
          <w:rFonts w:ascii="Times New Roman" w:hAnsi="Times New Roman"/>
          <w:color w:val="auto"/>
          <w:highlight w:val="none"/>
        </w:rPr>
        <w:t>还应当对超过部分予以赔偿。</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7.7.2 发出</w:t>
      </w:r>
      <w:r>
        <w:rPr>
          <w:rFonts w:hint="eastAsia" w:ascii="Times New Roman" w:hAnsi="Times New Roman"/>
          <w:color w:val="auto"/>
          <w:highlight w:val="none"/>
        </w:rPr>
        <w:t>成交</w:t>
      </w:r>
      <w:r>
        <w:rPr>
          <w:rFonts w:ascii="Times New Roman" w:hAnsi="Times New Roman"/>
          <w:color w:val="auto"/>
          <w:highlight w:val="none"/>
        </w:rPr>
        <w:t>通知书后，</w:t>
      </w:r>
      <w:r>
        <w:rPr>
          <w:rFonts w:hint="eastAsia" w:ascii="Times New Roman" w:hAnsi="Times New Roman"/>
          <w:color w:val="auto"/>
          <w:highlight w:val="none"/>
        </w:rPr>
        <w:t>采购人</w:t>
      </w:r>
      <w:r>
        <w:rPr>
          <w:rFonts w:ascii="Times New Roman" w:hAnsi="Times New Roman"/>
          <w:color w:val="auto"/>
          <w:highlight w:val="none"/>
        </w:rPr>
        <w:t>无正当理由</w:t>
      </w:r>
      <w:r>
        <w:rPr>
          <w:rFonts w:hint="eastAsia" w:ascii="Times New Roman" w:hAnsi="Times New Roman"/>
          <w:color w:val="auto"/>
          <w:highlight w:val="none"/>
        </w:rPr>
        <w:t>拒绝签订</w:t>
      </w:r>
      <w:r>
        <w:rPr>
          <w:rFonts w:ascii="Times New Roman" w:hAnsi="Times New Roman"/>
          <w:color w:val="auto"/>
          <w:highlight w:val="none"/>
        </w:rPr>
        <w:t>合同，或者</w:t>
      </w:r>
      <w:r>
        <w:rPr>
          <w:color w:val="auto"/>
          <w:highlight w:val="none"/>
        </w:rPr>
        <w:t>在签订合同时</w:t>
      </w:r>
      <w:r>
        <w:rPr>
          <w:rFonts w:hint="eastAsia"/>
          <w:color w:val="auto"/>
          <w:highlight w:val="none"/>
        </w:rPr>
        <w:t>向成交供应商</w:t>
      </w:r>
      <w:r>
        <w:rPr>
          <w:rFonts w:ascii="Times New Roman" w:hAnsi="Times New Roman"/>
          <w:color w:val="auto"/>
          <w:highlight w:val="none"/>
        </w:rPr>
        <w:t>提出附加条件的，</w:t>
      </w:r>
      <w:r>
        <w:rPr>
          <w:rFonts w:hint="eastAsia" w:ascii="Times New Roman" w:hAnsi="Times New Roman"/>
          <w:color w:val="auto"/>
          <w:highlight w:val="none"/>
        </w:rPr>
        <w:t>采购人</w:t>
      </w:r>
      <w:r>
        <w:rPr>
          <w:rFonts w:ascii="Times New Roman" w:hAnsi="Times New Roman"/>
          <w:color w:val="auto"/>
          <w:highlight w:val="none"/>
        </w:rPr>
        <w:t>向</w:t>
      </w:r>
      <w:r>
        <w:rPr>
          <w:rFonts w:hint="eastAsia" w:ascii="Times New Roman" w:hAnsi="Times New Roman"/>
          <w:color w:val="auto"/>
          <w:highlight w:val="none"/>
        </w:rPr>
        <w:t>成交供应商</w:t>
      </w:r>
      <w:r>
        <w:rPr>
          <w:rFonts w:ascii="Times New Roman" w:hAnsi="Times New Roman"/>
          <w:color w:val="auto"/>
          <w:highlight w:val="none"/>
        </w:rPr>
        <w:t>退还</w:t>
      </w:r>
      <w:r>
        <w:rPr>
          <w:rFonts w:hint="eastAsia" w:ascii="Times New Roman" w:hAnsi="Times New Roman"/>
          <w:color w:val="auto"/>
          <w:highlight w:val="none"/>
        </w:rPr>
        <w:t>响应保证金</w:t>
      </w:r>
      <w:r>
        <w:rPr>
          <w:rFonts w:ascii="Times New Roman" w:hAnsi="Times New Roman"/>
          <w:color w:val="auto"/>
          <w:highlight w:val="none"/>
        </w:rPr>
        <w:t>；给</w:t>
      </w:r>
      <w:r>
        <w:rPr>
          <w:rFonts w:hint="eastAsia" w:ascii="Times New Roman" w:hAnsi="Times New Roman"/>
          <w:color w:val="auto"/>
          <w:highlight w:val="none"/>
        </w:rPr>
        <w:t>成交供应商</w:t>
      </w:r>
      <w:r>
        <w:rPr>
          <w:rFonts w:ascii="Times New Roman" w:hAnsi="Times New Roman"/>
          <w:color w:val="auto"/>
          <w:highlight w:val="none"/>
        </w:rPr>
        <w:t>造成损失的，还应当赔偿损失。</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7.7.3 联合体</w:t>
      </w:r>
      <w:r>
        <w:rPr>
          <w:rFonts w:hint="eastAsia" w:ascii="Times New Roman" w:hAnsi="Times New Roman"/>
          <w:color w:val="auto"/>
          <w:highlight w:val="none"/>
        </w:rPr>
        <w:t>成交</w:t>
      </w:r>
      <w:r>
        <w:rPr>
          <w:rFonts w:ascii="Times New Roman" w:hAnsi="Times New Roman"/>
          <w:color w:val="auto"/>
          <w:highlight w:val="none"/>
        </w:rPr>
        <w:t>的，联合体各方应当共同与</w:t>
      </w:r>
      <w:r>
        <w:rPr>
          <w:rFonts w:hint="eastAsia" w:ascii="Times New Roman" w:hAnsi="Times New Roman"/>
          <w:color w:val="auto"/>
          <w:highlight w:val="none"/>
        </w:rPr>
        <w:t>采购人</w:t>
      </w:r>
      <w:r>
        <w:rPr>
          <w:rFonts w:ascii="Times New Roman" w:hAnsi="Times New Roman"/>
          <w:color w:val="auto"/>
          <w:highlight w:val="none"/>
        </w:rPr>
        <w:t>签订合同，就</w:t>
      </w:r>
      <w:r>
        <w:rPr>
          <w:rFonts w:hint="eastAsia" w:ascii="Times New Roman" w:hAnsi="Times New Roman"/>
          <w:color w:val="auto"/>
          <w:highlight w:val="none"/>
        </w:rPr>
        <w:t>成交</w:t>
      </w:r>
      <w:r>
        <w:rPr>
          <w:rFonts w:ascii="Times New Roman" w:hAnsi="Times New Roman"/>
          <w:color w:val="auto"/>
          <w:highlight w:val="none"/>
        </w:rPr>
        <w:t>项目向</w:t>
      </w:r>
      <w:r>
        <w:rPr>
          <w:rFonts w:hint="eastAsia" w:ascii="Times New Roman" w:hAnsi="Times New Roman"/>
          <w:color w:val="auto"/>
          <w:highlight w:val="none"/>
        </w:rPr>
        <w:t>采购人</w:t>
      </w:r>
      <w:r>
        <w:rPr>
          <w:rFonts w:ascii="Times New Roman" w:hAnsi="Times New Roman"/>
          <w:color w:val="auto"/>
          <w:highlight w:val="none"/>
        </w:rPr>
        <w:t>承担连带责任。</w:t>
      </w:r>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7.7.4 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pStyle w:val="4"/>
        <w:spacing w:line="240" w:lineRule="auto"/>
        <w:ind w:firstLine="137"/>
        <w:rPr>
          <w:b/>
          <w:color w:val="auto"/>
          <w:highlight w:val="none"/>
        </w:rPr>
      </w:pPr>
      <w:bookmarkStart w:id="203" w:name="_Toc30179"/>
      <w:r>
        <w:rPr>
          <w:rFonts w:hint="eastAsia" w:ascii="Times New Roman" w:hAnsi="Times New Roman"/>
          <w:color w:val="auto"/>
          <w:highlight w:val="none"/>
        </w:rPr>
        <w:t>7.8 特殊情形处理</w:t>
      </w:r>
      <w:bookmarkEnd w:id="203"/>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因供应商对预成交结果提出异议、成交供应商</w:t>
      </w:r>
      <w:r>
        <w:rPr>
          <w:rFonts w:ascii="Times New Roman" w:hAnsi="Times New Roman"/>
          <w:color w:val="auto"/>
          <w:highlight w:val="none"/>
        </w:rPr>
        <w:t>无正当理由</w:t>
      </w:r>
      <w:r>
        <w:rPr>
          <w:rFonts w:hint="eastAsia" w:ascii="Times New Roman" w:hAnsi="Times New Roman"/>
          <w:color w:val="auto"/>
          <w:highlight w:val="none"/>
        </w:rPr>
        <w:t>拒绝签订</w:t>
      </w:r>
      <w:r>
        <w:rPr>
          <w:rFonts w:ascii="Times New Roman" w:hAnsi="Times New Roman"/>
          <w:color w:val="auto"/>
          <w:highlight w:val="none"/>
        </w:rPr>
        <w:t>合同</w:t>
      </w:r>
      <w:r>
        <w:rPr>
          <w:rFonts w:hint="eastAsia" w:ascii="Times New Roman" w:hAnsi="Times New Roman"/>
          <w:color w:val="auto"/>
          <w:highlight w:val="none"/>
        </w:rPr>
        <w:t>、成交供应商</w:t>
      </w:r>
      <w:r>
        <w:rPr>
          <w:rFonts w:ascii="Times New Roman" w:hAnsi="Times New Roman"/>
          <w:color w:val="auto"/>
          <w:highlight w:val="none"/>
        </w:rPr>
        <w:t>在签订合同时向</w:t>
      </w:r>
      <w:r>
        <w:rPr>
          <w:rFonts w:hint="eastAsia" w:ascii="Times New Roman" w:hAnsi="Times New Roman"/>
          <w:color w:val="auto"/>
          <w:highlight w:val="none"/>
        </w:rPr>
        <w:t>采购人</w:t>
      </w:r>
      <w:r>
        <w:rPr>
          <w:rFonts w:ascii="Times New Roman" w:hAnsi="Times New Roman"/>
          <w:color w:val="auto"/>
          <w:highlight w:val="none"/>
        </w:rPr>
        <w:t>提出附加条件或者不按照</w:t>
      </w:r>
      <w:r>
        <w:rPr>
          <w:rFonts w:hint="eastAsia" w:ascii="Times New Roman" w:hAnsi="Times New Roman"/>
          <w:color w:val="auto"/>
          <w:highlight w:val="none"/>
        </w:rPr>
        <w:t>采购文件</w:t>
      </w:r>
      <w:r>
        <w:rPr>
          <w:rFonts w:ascii="Times New Roman" w:hAnsi="Times New Roman"/>
          <w:color w:val="auto"/>
          <w:highlight w:val="none"/>
        </w:rPr>
        <w:t>要求</w:t>
      </w:r>
      <w:r>
        <w:rPr>
          <w:rFonts w:hint="eastAsia" w:ascii="Times New Roman" w:hAnsi="Times New Roman"/>
          <w:color w:val="auto"/>
          <w:highlight w:val="none"/>
        </w:rPr>
        <w:t>递交</w:t>
      </w:r>
      <w:r>
        <w:rPr>
          <w:rFonts w:ascii="Times New Roman" w:hAnsi="Times New Roman"/>
          <w:color w:val="auto"/>
          <w:highlight w:val="none"/>
        </w:rPr>
        <w:t>履约保证金</w:t>
      </w:r>
      <w:r>
        <w:rPr>
          <w:rFonts w:hint="eastAsia" w:ascii="Times New Roman" w:hAnsi="Times New Roman"/>
          <w:color w:val="auto"/>
          <w:highlight w:val="none"/>
        </w:rPr>
        <w:t>等导致采购人变更成交结果</w:t>
      </w:r>
      <w:r>
        <w:rPr>
          <w:rFonts w:ascii="Times New Roman" w:hAnsi="Times New Roman"/>
          <w:color w:val="auto"/>
          <w:highlight w:val="none"/>
        </w:rPr>
        <w:t>的，</w:t>
      </w:r>
      <w:r>
        <w:rPr>
          <w:rFonts w:hint="eastAsia" w:ascii="Times New Roman" w:hAnsi="Times New Roman"/>
          <w:color w:val="auto"/>
          <w:highlight w:val="none"/>
        </w:rPr>
        <w:t>采购人应按照本条规定的程序重新选择确定预成交供应商、进行公示并公告。</w:t>
      </w:r>
    </w:p>
    <w:p>
      <w:pPr>
        <w:pStyle w:val="3"/>
        <w:rPr>
          <w:rFonts w:ascii="Times New Roman" w:hAnsi="Times New Roman"/>
          <w:color w:val="auto"/>
          <w:highlight w:val="none"/>
        </w:rPr>
      </w:pPr>
      <w:bookmarkStart w:id="204" w:name="_Toc30480"/>
      <w:r>
        <w:rPr>
          <w:rFonts w:ascii="Times New Roman" w:hAnsi="Times New Roman"/>
          <w:color w:val="auto"/>
          <w:highlight w:val="none"/>
        </w:rPr>
        <w:t xml:space="preserve">8. </w:t>
      </w:r>
      <w:r>
        <w:rPr>
          <w:rFonts w:hint="eastAsia" w:ascii="Times New Roman" w:hAnsi="Times New Roman"/>
          <w:color w:val="auto"/>
          <w:highlight w:val="none"/>
        </w:rPr>
        <w:t>异议</w:t>
      </w:r>
      <w:bookmarkEnd w:id="204"/>
    </w:p>
    <w:p>
      <w:pPr>
        <w:pStyle w:val="4"/>
        <w:spacing w:line="240" w:lineRule="auto"/>
        <w:ind w:firstLine="137"/>
        <w:rPr>
          <w:rFonts w:ascii="Times New Roman" w:hAnsi="Times New Roman"/>
          <w:color w:val="auto"/>
          <w:highlight w:val="none"/>
        </w:rPr>
      </w:pPr>
      <w:bookmarkStart w:id="205" w:name="_Toc30686"/>
      <w:r>
        <w:rPr>
          <w:rFonts w:ascii="Times New Roman" w:hAnsi="Times New Roman"/>
          <w:color w:val="auto"/>
          <w:highlight w:val="none"/>
        </w:rPr>
        <w:t xml:space="preserve">8.1 </w:t>
      </w:r>
      <w:r>
        <w:rPr>
          <w:rFonts w:hint="eastAsia" w:ascii="Times New Roman" w:hAnsi="Times New Roman"/>
          <w:color w:val="auto"/>
          <w:highlight w:val="none"/>
        </w:rPr>
        <w:t>提出异议</w:t>
      </w:r>
      <w:bookmarkEnd w:id="205"/>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供应商或者其他利害关系人可以对预成交结果提出异议。异议应在预成交结果公示期间通过供应商须知前附表规定的异议渠道提出，并递交异议函和必要的证明材料。异议函包括但不限于下列内容：</w:t>
      </w:r>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1</w:t>
      </w:r>
      <w:r>
        <w:rPr>
          <w:rFonts w:hint="eastAsia" w:ascii="Times New Roman" w:hAnsi="Times New Roman"/>
          <w:color w:val="auto"/>
          <w:highlight w:val="none"/>
        </w:rPr>
        <w:t>）异议人名称、地址、邮政编码、联系人及联系电话；</w:t>
      </w:r>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2</w:t>
      </w:r>
      <w:r>
        <w:rPr>
          <w:rFonts w:hint="eastAsia" w:ascii="Times New Roman" w:hAnsi="Times New Roman"/>
          <w:color w:val="auto"/>
          <w:highlight w:val="none"/>
        </w:rPr>
        <w:t>）具体、明确的异议事项、事实依据及与异议事项相关的请求。</w:t>
      </w:r>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异议函应由异议人的法定代表人（单位负责人）或者其授权代表签字并加盖单位章。</w:t>
      </w:r>
    </w:p>
    <w:p>
      <w:pPr>
        <w:pStyle w:val="4"/>
        <w:spacing w:line="240" w:lineRule="auto"/>
        <w:ind w:firstLine="137"/>
        <w:rPr>
          <w:rFonts w:ascii="Times New Roman" w:hAnsi="Times New Roman"/>
          <w:color w:val="auto"/>
          <w:highlight w:val="none"/>
        </w:rPr>
      </w:pPr>
      <w:bookmarkStart w:id="206" w:name="_Toc29160"/>
      <w:r>
        <w:rPr>
          <w:rFonts w:ascii="Times New Roman" w:hAnsi="Times New Roman"/>
          <w:color w:val="auto"/>
          <w:highlight w:val="none"/>
        </w:rPr>
        <w:t xml:space="preserve">8.2 </w:t>
      </w:r>
      <w:r>
        <w:rPr>
          <w:rFonts w:hint="eastAsia" w:ascii="Times New Roman" w:hAnsi="Times New Roman"/>
          <w:color w:val="auto"/>
          <w:highlight w:val="none"/>
        </w:rPr>
        <w:t>异议处理</w:t>
      </w:r>
      <w:bookmarkEnd w:id="206"/>
    </w:p>
    <w:p>
      <w:pPr>
        <w:spacing w:line="400" w:lineRule="exact"/>
        <w:ind w:firstLine="420" w:firstLineChars="200"/>
        <w:rPr>
          <w:rFonts w:ascii="Times New Roman" w:hAnsi="Times New Roman"/>
          <w:color w:val="auto"/>
          <w:highlight w:val="none"/>
        </w:rPr>
      </w:pPr>
      <w:bookmarkStart w:id="207" w:name="_Toc24067"/>
      <w:bookmarkStart w:id="208" w:name="_Toc384308252"/>
      <w:bookmarkStart w:id="209" w:name="_Toc361508627"/>
      <w:bookmarkStart w:id="210" w:name="_Toc501460697"/>
      <w:bookmarkStart w:id="211" w:name="_Toc247527593"/>
      <w:bookmarkStart w:id="212" w:name="_Toc152045568"/>
      <w:bookmarkStart w:id="213" w:name="_Toc144974536"/>
      <w:bookmarkStart w:id="214" w:name="_Toc152042344"/>
      <w:bookmarkStart w:id="215" w:name="_Toc300834991"/>
      <w:bookmarkStart w:id="216" w:name="_Toc247513992"/>
      <w:r>
        <w:rPr>
          <w:rFonts w:hint="eastAsia" w:ascii="Times New Roman" w:hAnsi="Times New Roman"/>
          <w:color w:val="auto"/>
          <w:highlight w:val="none"/>
        </w:rPr>
        <w:t>采购人将针对异议提出的问题进行核查，经过核查，发现异议提出人对相关问题理解有误的，应作出解释；发现采购活动中确实存在错误或不当行为的，应及时予以改正或补救。</w:t>
      </w:r>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异议人与采购人对异议事项无法达成一致的，异议人可向供应商须知前附表规定的行业组织或专业咨询机构申请调解或进行反映。</w:t>
      </w:r>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采购人认为异议不成立或不影响采购结果的，可以继续进行采购活动。</w:t>
      </w:r>
    </w:p>
    <w:p>
      <w:pPr>
        <w:pStyle w:val="3"/>
        <w:rPr>
          <w:rFonts w:ascii="Times New Roman" w:hAnsi="Times New Roman"/>
          <w:color w:val="auto"/>
          <w:highlight w:val="none"/>
        </w:rPr>
      </w:pPr>
      <w:bookmarkStart w:id="217" w:name="_Toc12826"/>
      <w:r>
        <w:rPr>
          <w:rFonts w:hint="eastAsia" w:ascii="Times New Roman" w:hAnsi="Times New Roman"/>
          <w:color w:val="auto"/>
          <w:highlight w:val="none"/>
        </w:rPr>
        <w:t>9</w:t>
      </w:r>
      <w:r>
        <w:rPr>
          <w:rFonts w:ascii="Times New Roman" w:hAnsi="Times New Roman"/>
          <w:color w:val="auto"/>
          <w:highlight w:val="none"/>
        </w:rPr>
        <w:t>.</w:t>
      </w:r>
      <w:bookmarkEnd w:id="207"/>
      <w:bookmarkEnd w:id="208"/>
      <w:bookmarkEnd w:id="209"/>
      <w:r>
        <w:rPr>
          <w:rFonts w:ascii="Times New Roman" w:hAnsi="Times New Roman"/>
          <w:color w:val="auto"/>
          <w:highlight w:val="none"/>
        </w:rPr>
        <w:t xml:space="preserve"> 纪律</w:t>
      </w:r>
      <w:bookmarkEnd w:id="210"/>
      <w:r>
        <w:rPr>
          <w:rFonts w:hint="eastAsia" w:ascii="Times New Roman" w:hAnsi="Times New Roman"/>
          <w:color w:val="auto"/>
          <w:highlight w:val="none"/>
        </w:rPr>
        <w:t>要求</w:t>
      </w:r>
      <w:bookmarkEnd w:id="217"/>
    </w:p>
    <w:p>
      <w:pPr>
        <w:pStyle w:val="4"/>
        <w:spacing w:line="240" w:lineRule="auto"/>
        <w:ind w:firstLine="137"/>
        <w:rPr>
          <w:rFonts w:ascii="Times New Roman" w:hAnsi="Times New Roman"/>
          <w:color w:val="auto"/>
          <w:highlight w:val="none"/>
        </w:rPr>
      </w:pPr>
      <w:bookmarkStart w:id="218" w:name="_Toc15234"/>
      <w:bookmarkStart w:id="219" w:name="_Toc501460698"/>
      <w:r>
        <w:rPr>
          <w:rFonts w:hint="eastAsia" w:ascii="Times New Roman" w:hAnsi="Times New Roman"/>
          <w:color w:val="auto"/>
          <w:highlight w:val="none"/>
        </w:rPr>
        <w:t>9</w:t>
      </w:r>
      <w:r>
        <w:rPr>
          <w:rFonts w:ascii="Times New Roman" w:hAnsi="Times New Roman"/>
          <w:color w:val="auto"/>
          <w:highlight w:val="none"/>
        </w:rPr>
        <w:t>.1 对</w:t>
      </w:r>
      <w:r>
        <w:rPr>
          <w:rFonts w:hint="eastAsia" w:ascii="Times New Roman" w:hAnsi="Times New Roman"/>
          <w:color w:val="auto"/>
          <w:highlight w:val="none"/>
        </w:rPr>
        <w:t>采购人</w:t>
      </w:r>
      <w:r>
        <w:rPr>
          <w:rFonts w:ascii="Times New Roman" w:hAnsi="Times New Roman"/>
          <w:color w:val="auto"/>
          <w:highlight w:val="none"/>
        </w:rPr>
        <w:t>的纪律要求</w:t>
      </w:r>
      <w:bookmarkEnd w:id="218"/>
      <w:bookmarkEnd w:id="219"/>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采购人</w:t>
      </w:r>
      <w:r>
        <w:rPr>
          <w:rFonts w:ascii="Times New Roman" w:hAnsi="Times New Roman"/>
          <w:color w:val="auto"/>
          <w:highlight w:val="none"/>
        </w:rPr>
        <w:t>不得泄露</w:t>
      </w:r>
      <w:r>
        <w:rPr>
          <w:rFonts w:hint="eastAsia" w:ascii="Times New Roman" w:hAnsi="Times New Roman"/>
          <w:color w:val="auto"/>
          <w:highlight w:val="none"/>
        </w:rPr>
        <w:t>询比采购</w:t>
      </w:r>
      <w:r>
        <w:rPr>
          <w:rFonts w:ascii="Times New Roman" w:hAnsi="Times New Roman"/>
          <w:color w:val="auto"/>
          <w:highlight w:val="none"/>
        </w:rPr>
        <w:t>活动中应当保密的情况和资料，不得与</w:t>
      </w:r>
      <w:r>
        <w:rPr>
          <w:rFonts w:hint="eastAsia" w:ascii="Times New Roman" w:hAnsi="Times New Roman"/>
          <w:color w:val="auto"/>
          <w:highlight w:val="none"/>
        </w:rPr>
        <w:t>供应商</w:t>
      </w:r>
      <w:r>
        <w:rPr>
          <w:rFonts w:ascii="Times New Roman" w:hAnsi="Times New Roman"/>
          <w:color w:val="auto"/>
          <w:highlight w:val="none"/>
        </w:rPr>
        <w:t>串通损害国家利益、社会公共利益或者他人合法权益。</w:t>
      </w:r>
    </w:p>
    <w:p>
      <w:pPr>
        <w:pStyle w:val="4"/>
        <w:spacing w:line="240" w:lineRule="auto"/>
        <w:ind w:firstLine="137"/>
        <w:rPr>
          <w:rFonts w:ascii="Times New Roman" w:hAnsi="Times New Roman"/>
          <w:color w:val="auto"/>
          <w:highlight w:val="none"/>
        </w:rPr>
      </w:pPr>
      <w:bookmarkStart w:id="220" w:name="_Toc640"/>
      <w:bookmarkStart w:id="221" w:name="_Toc501460699"/>
      <w:r>
        <w:rPr>
          <w:rFonts w:hint="eastAsia" w:ascii="Times New Roman" w:hAnsi="Times New Roman"/>
          <w:color w:val="auto"/>
          <w:highlight w:val="none"/>
        </w:rPr>
        <w:t>9</w:t>
      </w:r>
      <w:r>
        <w:rPr>
          <w:rFonts w:ascii="Times New Roman" w:hAnsi="Times New Roman"/>
          <w:color w:val="auto"/>
          <w:highlight w:val="none"/>
        </w:rPr>
        <w:t>.2 对</w:t>
      </w:r>
      <w:r>
        <w:rPr>
          <w:rFonts w:hint="eastAsia" w:ascii="Times New Roman" w:hAnsi="Times New Roman"/>
          <w:color w:val="auto"/>
          <w:highlight w:val="none"/>
        </w:rPr>
        <w:t>供应商</w:t>
      </w:r>
      <w:r>
        <w:rPr>
          <w:rFonts w:ascii="Times New Roman" w:hAnsi="Times New Roman"/>
          <w:color w:val="auto"/>
          <w:highlight w:val="none"/>
        </w:rPr>
        <w:t>的纪律要求</w:t>
      </w:r>
      <w:bookmarkEnd w:id="220"/>
      <w:bookmarkEnd w:id="221"/>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不得相互串通或者与</w:t>
      </w:r>
      <w:r>
        <w:rPr>
          <w:rFonts w:hint="eastAsia" w:ascii="Times New Roman" w:hAnsi="Times New Roman"/>
          <w:color w:val="auto"/>
          <w:highlight w:val="none"/>
        </w:rPr>
        <w:t>采购人</w:t>
      </w:r>
      <w:r>
        <w:rPr>
          <w:rFonts w:ascii="Times New Roman" w:hAnsi="Times New Roman"/>
          <w:color w:val="auto"/>
          <w:highlight w:val="none"/>
        </w:rPr>
        <w:t>串通，不得向</w:t>
      </w:r>
      <w:r>
        <w:rPr>
          <w:rFonts w:hint="eastAsia" w:ascii="Times New Roman" w:hAnsi="Times New Roman"/>
          <w:color w:val="auto"/>
          <w:highlight w:val="none"/>
        </w:rPr>
        <w:t>采购人</w:t>
      </w:r>
      <w:r>
        <w:rPr>
          <w:rFonts w:ascii="Times New Roman" w:hAnsi="Times New Roman"/>
          <w:color w:val="auto"/>
          <w:highlight w:val="none"/>
        </w:rPr>
        <w:t>或者</w:t>
      </w:r>
      <w:r>
        <w:rPr>
          <w:rFonts w:hint="eastAsia" w:ascii="Times New Roman" w:hAnsi="Times New Roman"/>
          <w:color w:val="auto"/>
          <w:highlight w:val="none"/>
        </w:rPr>
        <w:t>评审小组</w:t>
      </w:r>
      <w:r>
        <w:rPr>
          <w:rFonts w:ascii="Times New Roman" w:hAnsi="Times New Roman"/>
          <w:color w:val="auto"/>
          <w:highlight w:val="none"/>
        </w:rPr>
        <w:t>成员行贿谋取</w:t>
      </w:r>
      <w:r>
        <w:rPr>
          <w:rFonts w:hint="eastAsia" w:ascii="Times New Roman" w:hAnsi="Times New Roman"/>
          <w:color w:val="auto"/>
          <w:highlight w:val="none"/>
        </w:rPr>
        <w:t>成交</w:t>
      </w:r>
      <w:r>
        <w:rPr>
          <w:rFonts w:ascii="Times New Roman" w:hAnsi="Times New Roman"/>
          <w:color w:val="auto"/>
          <w:highlight w:val="none"/>
        </w:rPr>
        <w:t>，不得以他人名义</w:t>
      </w:r>
      <w:r>
        <w:rPr>
          <w:rFonts w:hint="eastAsia" w:ascii="Times New Roman" w:hAnsi="Times New Roman"/>
          <w:color w:val="auto"/>
          <w:highlight w:val="none"/>
        </w:rPr>
        <w:t>参加询比采购活动</w:t>
      </w:r>
      <w:r>
        <w:rPr>
          <w:rFonts w:ascii="Times New Roman" w:hAnsi="Times New Roman"/>
          <w:color w:val="auto"/>
          <w:highlight w:val="none"/>
        </w:rPr>
        <w:t>或者以其他方式弄虚作假骗取</w:t>
      </w:r>
      <w:r>
        <w:rPr>
          <w:rFonts w:hint="eastAsia" w:ascii="Times New Roman" w:hAnsi="Times New Roman"/>
          <w:color w:val="auto"/>
          <w:highlight w:val="none"/>
        </w:rPr>
        <w:t>成交</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不得以任何方式干扰、影响</w:t>
      </w:r>
      <w:r>
        <w:rPr>
          <w:rFonts w:hint="eastAsia" w:ascii="Times New Roman" w:hAnsi="Times New Roman"/>
          <w:color w:val="auto"/>
          <w:highlight w:val="none"/>
        </w:rPr>
        <w:t>评审</w:t>
      </w:r>
      <w:r>
        <w:rPr>
          <w:rFonts w:ascii="Times New Roman" w:hAnsi="Times New Roman"/>
          <w:color w:val="auto"/>
          <w:highlight w:val="none"/>
        </w:rPr>
        <w:t>工作。</w:t>
      </w:r>
    </w:p>
    <w:p>
      <w:pPr>
        <w:pStyle w:val="4"/>
        <w:spacing w:line="240" w:lineRule="auto"/>
        <w:ind w:firstLine="137"/>
        <w:rPr>
          <w:rFonts w:ascii="Times New Roman" w:hAnsi="Times New Roman"/>
          <w:color w:val="auto"/>
          <w:highlight w:val="none"/>
        </w:rPr>
      </w:pPr>
      <w:bookmarkStart w:id="222" w:name="_Toc87"/>
      <w:bookmarkStart w:id="223" w:name="_Toc501460700"/>
      <w:r>
        <w:rPr>
          <w:rFonts w:hint="eastAsia" w:ascii="Times New Roman" w:hAnsi="Times New Roman"/>
          <w:color w:val="auto"/>
          <w:highlight w:val="none"/>
        </w:rPr>
        <w:t>9</w:t>
      </w:r>
      <w:r>
        <w:rPr>
          <w:rFonts w:ascii="Times New Roman" w:hAnsi="Times New Roman"/>
          <w:color w:val="auto"/>
          <w:highlight w:val="none"/>
        </w:rPr>
        <w:t>.3 对</w:t>
      </w:r>
      <w:r>
        <w:rPr>
          <w:rFonts w:hint="eastAsia" w:ascii="Times New Roman" w:hAnsi="Times New Roman"/>
          <w:color w:val="auto"/>
          <w:highlight w:val="none"/>
        </w:rPr>
        <w:t>评审小组</w:t>
      </w:r>
      <w:r>
        <w:rPr>
          <w:rFonts w:ascii="Times New Roman" w:hAnsi="Times New Roman"/>
          <w:color w:val="auto"/>
          <w:highlight w:val="none"/>
        </w:rPr>
        <w:t>成员的纪律要求</w:t>
      </w:r>
      <w:bookmarkEnd w:id="222"/>
      <w:bookmarkEnd w:id="223"/>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评审小组</w:t>
      </w:r>
      <w:r>
        <w:rPr>
          <w:rFonts w:ascii="Times New Roman" w:hAnsi="Times New Roman"/>
          <w:color w:val="auto"/>
          <w:highlight w:val="none"/>
        </w:rPr>
        <w:t>成员不得收受他人的财物或者其他好处，不得向他人透露对</w:t>
      </w:r>
      <w:r>
        <w:rPr>
          <w:rFonts w:hint="eastAsia" w:ascii="Times New Roman" w:hAnsi="Times New Roman"/>
          <w:color w:val="auto"/>
          <w:highlight w:val="none"/>
        </w:rPr>
        <w:t>响应文件</w:t>
      </w:r>
      <w:r>
        <w:rPr>
          <w:rFonts w:ascii="Times New Roman" w:hAnsi="Times New Roman"/>
          <w:color w:val="auto"/>
          <w:highlight w:val="none"/>
        </w:rPr>
        <w:t>的评审</w:t>
      </w:r>
      <w:bookmarkStart w:id="224" w:name="_Toc361508628"/>
      <w:bookmarkStart w:id="225" w:name="_Toc369531559"/>
      <w:bookmarkStart w:id="226" w:name="_Toc352691515"/>
      <w:bookmarkStart w:id="227" w:name="_Toc13644"/>
      <w:bookmarkStart w:id="228" w:name="_Toc384308253"/>
      <w:r>
        <w:rPr>
          <w:rFonts w:ascii="Times New Roman" w:hAnsi="Times New Roman"/>
          <w:color w:val="auto"/>
          <w:highlight w:val="none"/>
        </w:rPr>
        <w:t>和比较、</w:t>
      </w:r>
      <w:bookmarkEnd w:id="211"/>
      <w:bookmarkEnd w:id="212"/>
      <w:bookmarkEnd w:id="213"/>
      <w:bookmarkEnd w:id="214"/>
      <w:bookmarkEnd w:id="215"/>
      <w:bookmarkEnd w:id="216"/>
      <w:bookmarkEnd w:id="224"/>
      <w:bookmarkEnd w:id="225"/>
      <w:bookmarkEnd w:id="226"/>
      <w:bookmarkEnd w:id="227"/>
      <w:bookmarkEnd w:id="228"/>
      <w:r>
        <w:rPr>
          <w:rFonts w:hint="eastAsia" w:ascii="Times New Roman" w:hAnsi="Times New Roman"/>
          <w:color w:val="auto"/>
          <w:highlight w:val="none"/>
        </w:rPr>
        <w:t>候选成交供应商</w:t>
      </w:r>
      <w:r>
        <w:rPr>
          <w:rFonts w:ascii="Times New Roman" w:hAnsi="Times New Roman"/>
          <w:color w:val="auto"/>
          <w:highlight w:val="none"/>
        </w:rPr>
        <w:t>的推荐情况以及</w:t>
      </w:r>
      <w:r>
        <w:rPr>
          <w:rFonts w:hint="eastAsia" w:ascii="Times New Roman" w:hAnsi="Times New Roman"/>
          <w:color w:val="auto"/>
          <w:highlight w:val="none"/>
        </w:rPr>
        <w:t>评审</w:t>
      </w:r>
      <w:r>
        <w:rPr>
          <w:rFonts w:ascii="Times New Roman" w:hAnsi="Times New Roman"/>
          <w:color w:val="auto"/>
          <w:highlight w:val="none"/>
        </w:rPr>
        <w:t>有关的其他情况。在</w:t>
      </w:r>
      <w:r>
        <w:rPr>
          <w:rFonts w:hint="eastAsia" w:ascii="Times New Roman" w:hAnsi="Times New Roman"/>
          <w:color w:val="auto"/>
          <w:highlight w:val="none"/>
        </w:rPr>
        <w:t>评审</w:t>
      </w:r>
      <w:r>
        <w:rPr>
          <w:rFonts w:ascii="Times New Roman" w:hAnsi="Times New Roman"/>
          <w:color w:val="auto"/>
          <w:highlight w:val="none"/>
        </w:rPr>
        <w:t>活动中，</w:t>
      </w:r>
      <w:r>
        <w:rPr>
          <w:rFonts w:hint="eastAsia" w:ascii="Times New Roman" w:hAnsi="Times New Roman"/>
          <w:color w:val="auto"/>
          <w:highlight w:val="none"/>
        </w:rPr>
        <w:t>评审小组</w:t>
      </w:r>
      <w:r>
        <w:rPr>
          <w:rFonts w:ascii="Times New Roman" w:hAnsi="Times New Roman"/>
          <w:color w:val="auto"/>
          <w:highlight w:val="none"/>
        </w:rPr>
        <w:t>成员应当客观、公正地履行职责，遵守职业道德，不得擅离职守</w:t>
      </w:r>
      <w:r>
        <w:rPr>
          <w:rFonts w:hint="eastAsia" w:ascii="Times New Roman" w:hAnsi="Times New Roman"/>
          <w:color w:val="auto"/>
          <w:highlight w:val="none"/>
        </w:rPr>
        <w:t>、</w:t>
      </w:r>
      <w:r>
        <w:rPr>
          <w:rFonts w:ascii="Times New Roman" w:hAnsi="Times New Roman"/>
          <w:color w:val="auto"/>
          <w:highlight w:val="none"/>
        </w:rPr>
        <w:t>影响</w:t>
      </w:r>
      <w:r>
        <w:rPr>
          <w:rFonts w:hint="eastAsia" w:ascii="Times New Roman" w:hAnsi="Times New Roman"/>
          <w:color w:val="auto"/>
          <w:highlight w:val="none"/>
        </w:rPr>
        <w:t>评审工作</w:t>
      </w:r>
      <w:r>
        <w:rPr>
          <w:rFonts w:ascii="Times New Roman" w:hAnsi="Times New Roman"/>
          <w:color w:val="auto"/>
          <w:highlight w:val="none"/>
        </w:rPr>
        <w:t>正常进行，不得使用第三章</w:t>
      </w:r>
      <w:r>
        <w:rPr>
          <w:rFonts w:hint="eastAsia" w:ascii="Times New Roman" w:hAnsi="Times New Roman"/>
          <w:color w:val="auto"/>
          <w:highlight w:val="none"/>
        </w:rPr>
        <w:t>“评审</w:t>
      </w:r>
      <w:r>
        <w:rPr>
          <w:rFonts w:ascii="Times New Roman" w:hAnsi="Times New Roman"/>
          <w:color w:val="auto"/>
          <w:highlight w:val="none"/>
        </w:rPr>
        <w:t>办法</w:t>
      </w:r>
      <w:r>
        <w:rPr>
          <w:rFonts w:hint="eastAsia" w:ascii="Times New Roman" w:hAnsi="Times New Roman"/>
          <w:color w:val="auto"/>
          <w:highlight w:val="none"/>
        </w:rPr>
        <w:t>”</w:t>
      </w:r>
      <w:r>
        <w:rPr>
          <w:rFonts w:ascii="Times New Roman" w:hAnsi="Times New Roman"/>
          <w:color w:val="auto"/>
          <w:highlight w:val="none"/>
        </w:rPr>
        <w:t>没有规定的评审因素和标准进行</w:t>
      </w:r>
      <w:r>
        <w:rPr>
          <w:rFonts w:hint="eastAsia" w:ascii="Times New Roman" w:hAnsi="Times New Roman"/>
          <w:color w:val="auto"/>
          <w:highlight w:val="none"/>
        </w:rPr>
        <w:t>评审</w:t>
      </w:r>
      <w:r>
        <w:rPr>
          <w:rFonts w:ascii="Times New Roman" w:hAnsi="Times New Roman"/>
          <w:color w:val="auto"/>
          <w:highlight w:val="none"/>
        </w:rPr>
        <w:t>。</w:t>
      </w:r>
    </w:p>
    <w:p>
      <w:pPr>
        <w:pStyle w:val="4"/>
        <w:spacing w:line="240" w:lineRule="auto"/>
        <w:ind w:firstLine="137"/>
        <w:rPr>
          <w:rFonts w:ascii="Times New Roman" w:hAnsi="Times New Roman"/>
          <w:color w:val="auto"/>
          <w:highlight w:val="none"/>
        </w:rPr>
      </w:pPr>
      <w:bookmarkStart w:id="229" w:name="_Toc501460701"/>
      <w:bookmarkStart w:id="230" w:name="_Toc22795"/>
      <w:r>
        <w:rPr>
          <w:rFonts w:hint="eastAsia" w:ascii="Times New Roman" w:hAnsi="Times New Roman"/>
          <w:color w:val="auto"/>
          <w:highlight w:val="none"/>
        </w:rPr>
        <w:t>9</w:t>
      </w:r>
      <w:r>
        <w:rPr>
          <w:rFonts w:ascii="Times New Roman" w:hAnsi="Times New Roman"/>
          <w:color w:val="auto"/>
          <w:highlight w:val="none"/>
        </w:rPr>
        <w:t>.4 对与</w:t>
      </w:r>
      <w:r>
        <w:rPr>
          <w:rFonts w:hint="eastAsia" w:ascii="Times New Roman" w:hAnsi="Times New Roman"/>
          <w:color w:val="auto"/>
          <w:highlight w:val="none"/>
        </w:rPr>
        <w:t>询比</w:t>
      </w:r>
      <w:r>
        <w:rPr>
          <w:rFonts w:ascii="Times New Roman" w:hAnsi="Times New Roman"/>
          <w:color w:val="auto"/>
          <w:highlight w:val="none"/>
        </w:rPr>
        <w:t>活动有关的工作人员的纪律要求</w:t>
      </w:r>
      <w:bookmarkEnd w:id="229"/>
      <w:bookmarkEnd w:id="230"/>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与</w:t>
      </w:r>
      <w:r>
        <w:rPr>
          <w:rFonts w:hint="eastAsia" w:ascii="Times New Roman" w:hAnsi="Times New Roman"/>
          <w:color w:val="auto"/>
          <w:highlight w:val="none"/>
        </w:rPr>
        <w:t>询比</w:t>
      </w:r>
      <w:r>
        <w:rPr>
          <w:rFonts w:ascii="Times New Roman" w:hAnsi="Times New Roman"/>
          <w:color w:val="auto"/>
          <w:highlight w:val="none"/>
        </w:rPr>
        <w:t>活动有关的工作人员不得收受他人的财物或者其他好处，不得向他人透露对</w:t>
      </w:r>
      <w:bookmarkStart w:id="231" w:name="_Toc19429"/>
      <w:bookmarkStart w:id="232" w:name="_Toc247513993"/>
      <w:bookmarkStart w:id="233" w:name="_Toc144974537"/>
      <w:bookmarkStart w:id="234" w:name="_Toc247527594"/>
      <w:bookmarkStart w:id="235" w:name="_Toc300834992"/>
      <w:bookmarkStart w:id="236" w:name="_Toc352691516"/>
      <w:bookmarkStart w:id="237" w:name="_Toc361508629"/>
      <w:bookmarkStart w:id="238" w:name="_Toc369531560"/>
      <w:bookmarkStart w:id="239" w:name="_Toc152042345"/>
      <w:bookmarkStart w:id="240" w:name="_Toc384308254"/>
      <w:bookmarkStart w:id="241" w:name="_Toc152045569"/>
      <w:r>
        <w:rPr>
          <w:rFonts w:hint="eastAsia" w:ascii="Times New Roman" w:hAnsi="Times New Roman"/>
          <w:color w:val="auto"/>
          <w:highlight w:val="none"/>
        </w:rPr>
        <w:t>响应文件</w:t>
      </w:r>
      <w:r>
        <w:rPr>
          <w:rFonts w:ascii="Times New Roman" w:hAnsi="Times New Roman"/>
          <w:color w:val="auto"/>
          <w:highlight w:val="none"/>
        </w:rPr>
        <w:t>的评审和比较、</w:t>
      </w:r>
      <w:bookmarkEnd w:id="231"/>
      <w:bookmarkEnd w:id="232"/>
      <w:bookmarkEnd w:id="233"/>
      <w:bookmarkEnd w:id="234"/>
      <w:bookmarkEnd w:id="235"/>
      <w:bookmarkEnd w:id="236"/>
      <w:bookmarkEnd w:id="237"/>
      <w:bookmarkEnd w:id="238"/>
      <w:bookmarkEnd w:id="239"/>
      <w:bookmarkEnd w:id="240"/>
      <w:bookmarkEnd w:id="241"/>
      <w:r>
        <w:rPr>
          <w:rFonts w:hint="eastAsia" w:ascii="Times New Roman" w:hAnsi="Times New Roman"/>
          <w:color w:val="auto"/>
          <w:highlight w:val="none"/>
        </w:rPr>
        <w:t>候选成交供应商</w:t>
      </w:r>
      <w:r>
        <w:rPr>
          <w:rFonts w:ascii="Times New Roman" w:hAnsi="Times New Roman"/>
          <w:color w:val="auto"/>
          <w:highlight w:val="none"/>
        </w:rPr>
        <w:t>的推荐情况以及</w:t>
      </w:r>
      <w:r>
        <w:rPr>
          <w:rFonts w:hint="eastAsia" w:ascii="Times New Roman" w:hAnsi="Times New Roman"/>
          <w:color w:val="auto"/>
          <w:highlight w:val="none"/>
        </w:rPr>
        <w:t>询比</w:t>
      </w:r>
      <w:r>
        <w:rPr>
          <w:rFonts w:ascii="Times New Roman" w:hAnsi="Times New Roman"/>
          <w:color w:val="auto"/>
          <w:highlight w:val="none"/>
        </w:rPr>
        <w:t>有关的其他情况。在</w:t>
      </w:r>
      <w:r>
        <w:rPr>
          <w:rFonts w:hint="eastAsia" w:ascii="Times New Roman" w:hAnsi="Times New Roman"/>
          <w:color w:val="auto"/>
          <w:highlight w:val="none"/>
        </w:rPr>
        <w:t>询比</w:t>
      </w:r>
      <w:r>
        <w:rPr>
          <w:rFonts w:ascii="Times New Roman" w:hAnsi="Times New Roman"/>
          <w:color w:val="auto"/>
          <w:highlight w:val="none"/>
        </w:rPr>
        <w:t>活动中，与</w:t>
      </w:r>
      <w:r>
        <w:rPr>
          <w:rFonts w:hint="eastAsia" w:ascii="Times New Roman" w:hAnsi="Times New Roman"/>
          <w:color w:val="auto"/>
          <w:highlight w:val="none"/>
        </w:rPr>
        <w:t>询比</w:t>
      </w:r>
      <w:r>
        <w:rPr>
          <w:rFonts w:ascii="Times New Roman" w:hAnsi="Times New Roman"/>
          <w:color w:val="auto"/>
          <w:highlight w:val="none"/>
        </w:rPr>
        <w:t>活动有关的工作人员不得擅离职守，影响</w:t>
      </w:r>
      <w:r>
        <w:rPr>
          <w:rFonts w:hint="eastAsia" w:ascii="Times New Roman" w:hAnsi="Times New Roman"/>
          <w:color w:val="auto"/>
          <w:highlight w:val="none"/>
        </w:rPr>
        <w:t>评审工作</w:t>
      </w:r>
      <w:r>
        <w:rPr>
          <w:rFonts w:ascii="Times New Roman" w:hAnsi="Times New Roman"/>
          <w:color w:val="auto"/>
          <w:highlight w:val="none"/>
        </w:rPr>
        <w:t>正常进行。</w:t>
      </w:r>
    </w:p>
    <w:p>
      <w:pPr>
        <w:pStyle w:val="3"/>
        <w:spacing w:line="240" w:lineRule="auto"/>
        <w:rPr>
          <w:rFonts w:ascii="Times New Roman" w:hAnsi="Times New Roman"/>
          <w:color w:val="auto"/>
          <w:highlight w:val="none"/>
        </w:rPr>
      </w:pPr>
      <w:bookmarkStart w:id="242" w:name="_Toc501460704"/>
      <w:bookmarkStart w:id="243" w:name="_Toc14392"/>
      <w:r>
        <w:rPr>
          <w:rFonts w:hint="eastAsia" w:ascii="Times New Roman" w:hAnsi="Times New Roman"/>
          <w:color w:val="auto"/>
          <w:highlight w:val="none"/>
        </w:rPr>
        <w:t>10</w:t>
      </w:r>
      <w:r>
        <w:rPr>
          <w:rFonts w:ascii="Times New Roman" w:hAnsi="Times New Roman"/>
          <w:color w:val="auto"/>
          <w:highlight w:val="none"/>
        </w:rPr>
        <w:t xml:space="preserve">. </w:t>
      </w:r>
      <w:bookmarkEnd w:id="242"/>
      <w:r>
        <w:rPr>
          <w:rFonts w:ascii="Times New Roman" w:hAnsi="Times New Roman"/>
          <w:color w:val="auto"/>
          <w:highlight w:val="none"/>
        </w:rPr>
        <w:t>需要补充的其他内容</w:t>
      </w:r>
      <w:bookmarkEnd w:id="243"/>
    </w:p>
    <w:p>
      <w:pPr>
        <w:pStyle w:val="4"/>
        <w:spacing w:line="240" w:lineRule="auto"/>
        <w:ind w:firstLine="137"/>
        <w:rPr>
          <w:rFonts w:ascii="Times New Roman" w:hAnsi="Times New Roman"/>
          <w:color w:val="auto"/>
          <w:highlight w:val="none"/>
        </w:rPr>
      </w:pPr>
      <w:bookmarkStart w:id="244" w:name="_Toc32514"/>
      <w:r>
        <w:rPr>
          <w:rFonts w:hint="eastAsia" w:ascii="Times New Roman" w:hAnsi="Times New Roman"/>
          <w:color w:val="auto"/>
          <w:highlight w:val="none"/>
        </w:rPr>
        <w:t>10</w:t>
      </w: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 xml:space="preserve"> </w:t>
      </w:r>
      <w:r>
        <w:rPr>
          <w:rFonts w:hint="eastAsia" w:ascii="Times New Roman" w:hAnsi="Times New Roman"/>
          <w:color w:val="auto"/>
          <w:highlight w:val="none"/>
        </w:rPr>
        <w:t>采购代理服务费</w:t>
      </w:r>
      <w:bookmarkEnd w:id="244"/>
    </w:p>
    <w:p>
      <w:pPr>
        <w:spacing w:line="400" w:lineRule="exact"/>
        <w:ind w:firstLine="420" w:firstLineChars="200"/>
        <w:rPr>
          <w:rFonts w:ascii="Times New Roman" w:hAnsi="Times New Roman"/>
          <w:color w:val="auto"/>
          <w:highlight w:val="none"/>
        </w:rPr>
      </w:pPr>
      <w:r>
        <w:rPr>
          <w:rFonts w:hint="eastAsia" w:ascii="黑体" w:hAnsi="黑体" w:eastAsia="黑体" w:cs="黑体"/>
          <w:iCs/>
          <w:color w:val="auto"/>
          <w:highlight w:val="none"/>
        </w:rPr>
        <w:t>供应商须知</w:t>
      </w:r>
      <w:r>
        <w:rPr>
          <w:rFonts w:hint="eastAsia" w:ascii="黑体" w:hAnsi="黑体" w:eastAsia="黑体" w:cs="黑体"/>
          <w:iCs/>
          <w:color w:val="auto"/>
          <w:highlight w:val="none"/>
          <w:lang w:eastAsia="zh-CN"/>
        </w:rPr>
        <w:t>如</w:t>
      </w:r>
      <w:r>
        <w:rPr>
          <w:rFonts w:hint="eastAsia" w:ascii="黑体" w:hAnsi="黑体" w:eastAsia="黑体" w:cs="黑体"/>
          <w:iCs/>
          <w:color w:val="auto"/>
          <w:highlight w:val="none"/>
        </w:rPr>
        <w:t>前附表</w:t>
      </w:r>
      <w:r>
        <w:rPr>
          <w:rFonts w:hint="eastAsia" w:ascii="Times New Roman" w:hAnsi="Times New Roman"/>
          <w:color w:val="auto"/>
          <w:highlight w:val="none"/>
        </w:rPr>
        <w:t>规定由供应商承担采购代理服务费的，供应商应按照</w:t>
      </w:r>
      <w:r>
        <w:rPr>
          <w:rFonts w:hint="eastAsia" w:ascii="黑体" w:hAnsi="黑体" w:eastAsia="黑体" w:cs="黑体"/>
          <w:iCs/>
          <w:color w:val="auto"/>
          <w:highlight w:val="none"/>
        </w:rPr>
        <w:t>供应商须知前附表</w:t>
      </w:r>
      <w:r>
        <w:rPr>
          <w:rFonts w:hint="eastAsia" w:ascii="Times New Roman" w:hAnsi="Times New Roman"/>
          <w:color w:val="auto"/>
          <w:highlight w:val="none"/>
        </w:rPr>
        <w:t>规定的费用标准或金额、交费时间和方式向采购代理机构支付代理服务费。</w:t>
      </w:r>
    </w:p>
    <w:p>
      <w:pPr>
        <w:pStyle w:val="4"/>
        <w:spacing w:line="240" w:lineRule="auto"/>
        <w:ind w:firstLine="137"/>
        <w:rPr>
          <w:rFonts w:ascii="Times New Roman" w:hAnsi="Times New Roman"/>
          <w:color w:val="auto"/>
          <w:highlight w:val="none"/>
        </w:rPr>
      </w:pPr>
      <w:bookmarkStart w:id="245" w:name="_Toc23843"/>
      <w:r>
        <w:rPr>
          <w:rFonts w:hint="eastAsia" w:ascii="Times New Roman" w:hAnsi="Times New Roman"/>
          <w:color w:val="auto"/>
          <w:highlight w:val="none"/>
        </w:rPr>
        <w:t>10</w:t>
      </w: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 xml:space="preserve"> </w:t>
      </w:r>
      <w:r>
        <w:rPr>
          <w:rFonts w:hint="eastAsia" w:ascii="Times New Roman" w:hAnsi="Times New Roman"/>
          <w:color w:val="auto"/>
          <w:highlight w:val="none"/>
        </w:rPr>
        <w:t>其他</w:t>
      </w:r>
      <w:bookmarkEnd w:id="245"/>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需要补充的其他内容：见</w:t>
      </w:r>
      <w:r>
        <w:rPr>
          <w:rFonts w:hint="eastAsia" w:ascii="黑体" w:hAnsi="黑体" w:eastAsia="黑体" w:cs="黑体"/>
          <w:iCs/>
          <w:color w:val="auto"/>
          <w:highlight w:val="none"/>
        </w:rPr>
        <w:t>供应商须知前附表</w:t>
      </w:r>
      <w:r>
        <w:rPr>
          <w:rFonts w:ascii="Times New Roman" w:hAnsi="Times New Roman"/>
          <w:color w:val="auto"/>
          <w:highlight w:val="none"/>
        </w:rPr>
        <w:t>。</w:t>
      </w:r>
    </w:p>
    <w:p>
      <w:pPr>
        <w:widowControl/>
        <w:jc w:val="left"/>
        <w:rPr>
          <w:rFonts w:ascii="Times New Roman" w:hAnsi="Times New Roman" w:eastAsia="黑体"/>
          <w:color w:val="auto"/>
          <w:sz w:val="28"/>
          <w:szCs w:val="20"/>
          <w:highlight w:val="none"/>
        </w:rPr>
      </w:pPr>
      <w:bookmarkStart w:id="246" w:name="_Toc501460705"/>
      <w:r>
        <w:rPr>
          <w:rFonts w:ascii="Times New Roman" w:hAnsi="Times New Roman"/>
          <w:color w:val="auto"/>
          <w:highlight w:val="none"/>
        </w:rPr>
        <w:br w:type="page"/>
      </w:r>
    </w:p>
    <w:bookmarkEnd w:id="246"/>
    <w:p>
      <w:pPr>
        <w:pStyle w:val="4"/>
        <w:ind w:firstLine="137"/>
        <w:rPr>
          <w:rFonts w:ascii="Times New Roman" w:hAnsi="Times New Roman"/>
          <w:color w:val="auto"/>
          <w:highlight w:val="none"/>
        </w:rPr>
      </w:pPr>
      <w:bookmarkStart w:id="247" w:name="_Toc14774"/>
      <w:bookmarkStart w:id="248" w:name="_Toc501460706"/>
      <w:r>
        <w:rPr>
          <w:rFonts w:ascii="Times New Roman" w:hAnsi="Times New Roman"/>
          <w:color w:val="auto"/>
          <w:highlight w:val="none"/>
        </w:rPr>
        <w:t>附件</w:t>
      </w:r>
      <w:r>
        <w:rPr>
          <w:rFonts w:hint="eastAsia" w:ascii="Times New Roman" w:hAnsi="Times New Roman"/>
          <w:color w:val="auto"/>
          <w:highlight w:val="none"/>
          <w:lang w:val="en-US" w:eastAsia="zh-CN"/>
        </w:rPr>
        <w:t>1</w:t>
      </w:r>
      <w:r>
        <w:rPr>
          <w:rFonts w:ascii="Times New Roman" w:hAnsi="Times New Roman"/>
          <w:color w:val="auto"/>
          <w:highlight w:val="none"/>
        </w:rPr>
        <w:t>：问题澄清通知</w:t>
      </w:r>
      <w:bookmarkEnd w:id="247"/>
      <w:bookmarkEnd w:id="248"/>
    </w:p>
    <w:p>
      <w:pPr>
        <w:spacing w:line="440" w:lineRule="exact"/>
        <w:jc w:val="center"/>
        <w:rPr>
          <w:rFonts w:ascii="Times New Roman" w:hAnsi="Times New Roman"/>
          <w:color w:val="auto"/>
          <w:highlight w:val="none"/>
        </w:rPr>
      </w:pPr>
    </w:p>
    <w:p>
      <w:pPr>
        <w:spacing w:line="440" w:lineRule="exact"/>
        <w:jc w:val="center"/>
        <w:rPr>
          <w:rFonts w:ascii="Times New Roman" w:hAnsi="Times New Roman" w:eastAsia="黑体"/>
          <w:color w:val="auto"/>
          <w:sz w:val="28"/>
          <w:highlight w:val="none"/>
        </w:rPr>
      </w:pPr>
      <w:r>
        <w:rPr>
          <w:rFonts w:ascii="Times New Roman" w:hAnsi="Times New Roman" w:eastAsia="黑体"/>
          <w:color w:val="auto"/>
          <w:sz w:val="28"/>
          <w:highlight w:val="none"/>
        </w:rPr>
        <w:t>问题澄清通知</w:t>
      </w:r>
    </w:p>
    <w:p>
      <w:pPr>
        <w:spacing w:line="440" w:lineRule="exact"/>
        <w:jc w:val="center"/>
        <w:rPr>
          <w:rFonts w:ascii="Times New Roman" w:hAnsi="Times New Roman"/>
          <w:color w:val="auto"/>
          <w:highlight w:val="none"/>
        </w:rPr>
      </w:pPr>
      <w:r>
        <w:rPr>
          <w:rFonts w:ascii="Times New Roman" w:hAnsi="Times New Roman"/>
          <w:color w:val="auto"/>
          <w:highlight w:val="none"/>
        </w:rPr>
        <w:t>（</w:t>
      </w:r>
      <w:r>
        <w:rPr>
          <w:rFonts w:ascii="楷体" w:hAnsi="楷体" w:eastAsia="楷体"/>
          <w:color w:val="auto"/>
          <w:highlight w:val="none"/>
        </w:rPr>
        <w:t>编号：</w:t>
      </w:r>
      <w:r>
        <w:rPr>
          <w:rFonts w:ascii="楷体" w:hAnsi="楷体" w:eastAsia="楷体"/>
          <w:color w:val="auto"/>
          <w:sz w:val="28"/>
          <w:highlight w:val="none"/>
          <w:u w:val="single"/>
        </w:rPr>
        <w:t xml:space="preserve">               </w:t>
      </w:r>
      <w:r>
        <w:rPr>
          <w:rFonts w:ascii="Times New Roman" w:hAnsi="Times New Roman"/>
          <w:color w:val="auto"/>
          <w:highlight w:val="none"/>
        </w:rPr>
        <w:t>）</w:t>
      </w: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r>
        <w:rPr>
          <w:rFonts w:ascii="Times New Roman" w:hAnsi="Times New Roman"/>
          <w:color w:val="auto"/>
          <w:highlight w:val="none"/>
          <w:u w:val="single"/>
        </w:rPr>
        <w:t xml:space="preserve">                     （</w:t>
      </w:r>
      <w:r>
        <w:rPr>
          <w:rFonts w:hint="eastAsia" w:ascii="Times New Roman" w:hAnsi="Times New Roman"/>
          <w:color w:val="auto"/>
          <w:highlight w:val="none"/>
          <w:u w:val="single"/>
        </w:rPr>
        <w:t>供应商</w:t>
      </w:r>
      <w:r>
        <w:rPr>
          <w:rFonts w:ascii="Times New Roman" w:hAnsi="Times New Roman"/>
          <w:color w:val="auto"/>
          <w:highlight w:val="none"/>
          <w:u w:val="single"/>
        </w:rPr>
        <w:t>名称）</w:t>
      </w:r>
      <w:r>
        <w:rPr>
          <w:rFonts w:ascii="Times New Roman" w:hAnsi="Times New Roman"/>
          <w:color w:val="auto"/>
          <w:highlight w:val="none"/>
        </w:rPr>
        <w:t>：</w:t>
      </w: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r>
        <w:rPr>
          <w:rFonts w:ascii="Times New Roman" w:hAnsi="Times New Roman"/>
          <w:color w:val="auto"/>
          <w:highlight w:val="none"/>
        </w:rPr>
        <w:t>　　</w:t>
      </w:r>
      <w:r>
        <w:rPr>
          <w:rFonts w:hint="eastAsia" w:ascii="Times New Roman" w:hAnsi="Times New Roman"/>
          <w:color w:val="auto"/>
          <w:highlight w:val="none"/>
        </w:rPr>
        <w:t>评审小组</w:t>
      </w:r>
      <w:r>
        <w:rPr>
          <w:rFonts w:ascii="Times New Roman" w:hAnsi="Times New Roman"/>
          <w:color w:val="auto"/>
          <w:highlight w:val="none"/>
        </w:rPr>
        <w:t>对你方的</w:t>
      </w:r>
      <w:r>
        <w:rPr>
          <w:rFonts w:hint="eastAsia" w:ascii="Times New Roman" w:hAnsi="Times New Roman"/>
          <w:color w:val="auto"/>
          <w:highlight w:val="none"/>
        </w:rPr>
        <w:t>响应文件</w:t>
      </w:r>
      <w:r>
        <w:rPr>
          <w:rFonts w:ascii="Times New Roman" w:hAnsi="Times New Roman"/>
          <w:color w:val="auto"/>
          <w:highlight w:val="none"/>
        </w:rPr>
        <w:t>进行了仔细的审查，现需你方对下列问题以书</w:t>
      </w:r>
      <w:bookmarkStart w:id="249" w:name="_Toc144974544"/>
      <w:bookmarkStart w:id="250" w:name="_Toc369531565"/>
      <w:bookmarkStart w:id="251" w:name="_Toc352691521"/>
      <w:bookmarkStart w:id="252" w:name="_Toc247527601"/>
      <w:bookmarkStart w:id="253" w:name="_Toc384308260"/>
      <w:bookmarkStart w:id="254" w:name="_Toc361508634"/>
      <w:bookmarkStart w:id="255" w:name="_Toc152045576"/>
      <w:bookmarkStart w:id="256" w:name="_Toc247514000"/>
      <w:bookmarkStart w:id="257" w:name="_Toc23050"/>
      <w:bookmarkStart w:id="258" w:name="_Toc300834996"/>
      <w:bookmarkStart w:id="259" w:name="_Toc152042352"/>
      <w:r>
        <w:rPr>
          <w:rFonts w:ascii="Times New Roman" w:hAnsi="Times New Roman"/>
          <w:color w:val="auto"/>
          <w:highlight w:val="none"/>
        </w:rPr>
        <w:t>面形式予以</w:t>
      </w:r>
      <w:r>
        <w:rPr>
          <w:rFonts w:hint="eastAsia" w:ascii="Times New Roman" w:hAnsi="Times New Roman"/>
          <w:color w:val="auto"/>
          <w:highlight w:val="none"/>
        </w:rPr>
        <w:t>澄清、说明和补正</w:t>
      </w:r>
      <w:r>
        <w:rPr>
          <w:rFonts w:ascii="Times New Roman" w:hAnsi="Times New Roman"/>
          <w:color w:val="auto"/>
          <w:highlight w:val="none"/>
        </w:rPr>
        <w:t>：</w:t>
      </w:r>
    </w:p>
    <w:p>
      <w:pPr>
        <w:spacing w:line="440" w:lineRule="exact"/>
        <w:rPr>
          <w:rFonts w:ascii="Times New Roman" w:hAnsi="Times New Roman"/>
          <w:color w:val="auto"/>
          <w:highlight w:val="none"/>
        </w:rPr>
      </w:pPr>
      <w:r>
        <w:rPr>
          <w:rFonts w:ascii="Times New Roman" w:hAnsi="Times New Roman"/>
          <w:color w:val="auto"/>
          <w:highlight w:val="none"/>
        </w:rPr>
        <w:t>　　</w:t>
      </w:r>
    </w:p>
    <w:bookmarkEnd w:id="249"/>
    <w:bookmarkEnd w:id="250"/>
    <w:bookmarkEnd w:id="251"/>
    <w:bookmarkEnd w:id="252"/>
    <w:bookmarkEnd w:id="253"/>
    <w:bookmarkEnd w:id="254"/>
    <w:bookmarkEnd w:id="255"/>
    <w:bookmarkEnd w:id="256"/>
    <w:bookmarkEnd w:id="257"/>
    <w:bookmarkEnd w:id="258"/>
    <w:bookmarkEnd w:id="259"/>
    <w:p>
      <w:pPr>
        <w:spacing w:line="440" w:lineRule="exact"/>
        <w:rPr>
          <w:rFonts w:ascii="Times New Roman" w:hAnsi="Times New Roman"/>
          <w:color w:val="auto"/>
          <w:highlight w:val="none"/>
        </w:rPr>
      </w:pPr>
      <w:r>
        <w:rPr>
          <w:rFonts w:ascii="Times New Roman" w:hAnsi="Times New Roman"/>
          <w:color w:val="auto"/>
          <w:highlight w:val="none"/>
        </w:rPr>
        <w:t xml:space="preserve">    1.</w:t>
      </w:r>
    </w:p>
    <w:p>
      <w:pPr>
        <w:spacing w:line="440" w:lineRule="exact"/>
        <w:rPr>
          <w:rFonts w:ascii="Times New Roman" w:hAnsi="Times New Roman"/>
          <w:color w:val="auto"/>
          <w:highlight w:val="none"/>
        </w:rPr>
      </w:pPr>
      <w:r>
        <w:rPr>
          <w:rFonts w:ascii="Times New Roman" w:hAnsi="Times New Roman"/>
          <w:color w:val="auto"/>
          <w:highlight w:val="none"/>
        </w:rPr>
        <w:t xml:space="preserve">    2.</w:t>
      </w:r>
    </w:p>
    <w:p>
      <w:pPr>
        <w:spacing w:line="440" w:lineRule="exact"/>
        <w:rPr>
          <w:rFonts w:ascii="Times New Roman" w:hAnsi="Times New Roman"/>
          <w:color w:val="auto"/>
          <w:highlight w:val="none"/>
        </w:rPr>
      </w:pPr>
      <w:r>
        <w:rPr>
          <w:rFonts w:ascii="Times New Roman" w:hAnsi="Times New Roman"/>
          <w:color w:val="auto"/>
          <w:highlight w:val="none"/>
        </w:rPr>
        <w:t xml:space="preserve">     ......   </w:t>
      </w:r>
    </w:p>
    <w:p>
      <w:pPr>
        <w:spacing w:line="440" w:lineRule="exact"/>
        <w:rPr>
          <w:rFonts w:ascii="Times New Roman" w:hAnsi="Times New Roman"/>
          <w:color w:val="auto"/>
          <w:highlight w:val="none"/>
        </w:rPr>
      </w:pPr>
      <w:r>
        <w:rPr>
          <w:rFonts w:ascii="Times New Roman" w:hAnsi="Times New Roman"/>
          <w:color w:val="auto"/>
          <w:highlight w:val="none"/>
        </w:rPr>
        <w:t>　　　</w:t>
      </w:r>
    </w:p>
    <w:p>
      <w:pPr>
        <w:spacing w:line="440" w:lineRule="exact"/>
        <w:ind w:firstLine="405"/>
        <w:rPr>
          <w:rFonts w:ascii="Times New Roman" w:hAnsi="Times New Roman"/>
          <w:color w:val="auto"/>
          <w:highlight w:val="none"/>
        </w:rPr>
      </w:pPr>
      <w:r>
        <w:rPr>
          <w:rFonts w:ascii="Times New Roman" w:hAnsi="Times New Roman"/>
          <w:color w:val="auto"/>
          <w:highlight w:val="none"/>
        </w:rPr>
        <w:t>请将上述问题的</w:t>
      </w:r>
      <w:r>
        <w:rPr>
          <w:rFonts w:hint="eastAsia" w:ascii="Times New Roman" w:hAnsi="Times New Roman"/>
          <w:color w:val="auto"/>
          <w:highlight w:val="none"/>
        </w:rPr>
        <w:t>澄清、说明和补正</w:t>
      </w:r>
      <w:r>
        <w:rPr>
          <w:rFonts w:ascii="Times New Roman" w:hAnsi="Times New Roman"/>
          <w:color w:val="auto"/>
          <w:highlight w:val="none"/>
        </w:rPr>
        <w:t>于</w:t>
      </w: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r>
        <w:rPr>
          <w:rFonts w:ascii="Times New Roman" w:hAnsi="Times New Roman"/>
          <w:color w:val="auto"/>
          <w:highlight w:val="none"/>
          <w:u w:val="single"/>
        </w:rPr>
        <w:t xml:space="preserve">     </w:t>
      </w:r>
      <w:r>
        <w:rPr>
          <w:rFonts w:ascii="Times New Roman" w:hAnsi="Times New Roman"/>
          <w:color w:val="auto"/>
          <w:highlight w:val="none"/>
        </w:rPr>
        <w:t>时前递交至</w:t>
      </w:r>
      <w:bookmarkStart w:id="260" w:name="_Toc361508635"/>
      <w:bookmarkStart w:id="261" w:name="_Toc384308261"/>
      <w:bookmarkStart w:id="262" w:name="_Toc247527602"/>
      <w:bookmarkStart w:id="263" w:name="_Toc152045577"/>
      <w:bookmarkStart w:id="264" w:name="_Toc369531566"/>
      <w:bookmarkStart w:id="265" w:name="_Toc152042353"/>
      <w:bookmarkStart w:id="266" w:name="_Toc144974545"/>
      <w:bookmarkStart w:id="267" w:name="_Toc28385"/>
      <w:bookmarkStart w:id="268" w:name="_Toc300834997"/>
      <w:bookmarkStart w:id="269" w:name="_Toc247514001"/>
      <w:bookmarkStart w:id="270" w:name="_Toc352691522"/>
      <w:r>
        <w:rPr>
          <w:rFonts w:ascii="Times New Roman" w:hAnsi="Times New Roman"/>
          <w:color w:val="auto"/>
          <w:highlight w:val="none"/>
          <w:u w:val="single"/>
        </w:rPr>
        <w:t xml:space="preserve">        （详细地址）</w:t>
      </w:r>
      <w:r>
        <w:rPr>
          <w:rFonts w:ascii="Times New Roman" w:hAnsi="Times New Roman"/>
          <w:color w:val="auto"/>
          <w:highlight w:val="none"/>
        </w:rPr>
        <w:t>或</w:t>
      </w:r>
      <w:r>
        <w:rPr>
          <w:rFonts w:hint="eastAsia" w:ascii="Times New Roman" w:hAnsi="Times New Roman"/>
          <w:color w:val="auto"/>
          <w:highlight w:val="none"/>
        </w:rPr>
        <w:t>发电子邮件</w:t>
      </w:r>
      <w:r>
        <w:rPr>
          <w:rFonts w:ascii="Times New Roman" w:hAnsi="Times New Roman"/>
          <w:color w:val="auto"/>
          <w:highlight w:val="none"/>
        </w:rPr>
        <w:t>至</w:t>
      </w:r>
      <w:bookmarkEnd w:id="260"/>
      <w:bookmarkEnd w:id="261"/>
      <w:bookmarkEnd w:id="262"/>
      <w:bookmarkEnd w:id="263"/>
      <w:bookmarkEnd w:id="264"/>
      <w:bookmarkEnd w:id="265"/>
      <w:bookmarkEnd w:id="266"/>
      <w:bookmarkEnd w:id="267"/>
      <w:bookmarkEnd w:id="268"/>
      <w:bookmarkEnd w:id="269"/>
      <w:bookmarkEnd w:id="270"/>
      <w:r>
        <w:rPr>
          <w:rFonts w:ascii="Times New Roman" w:hAnsi="Times New Roman"/>
          <w:color w:val="auto"/>
          <w:highlight w:val="none"/>
          <w:u w:val="single"/>
        </w:rPr>
        <w:t xml:space="preserve">                     （</w:t>
      </w:r>
      <w:r>
        <w:rPr>
          <w:rFonts w:hint="eastAsia" w:ascii="Times New Roman" w:hAnsi="Times New Roman"/>
          <w:color w:val="auto"/>
          <w:highlight w:val="none"/>
          <w:u w:val="single"/>
        </w:rPr>
        <w:t>电子邮箱地址</w:t>
      </w:r>
      <w:r>
        <w:rPr>
          <w:rFonts w:ascii="Times New Roman" w:hAnsi="Times New Roman"/>
          <w:color w:val="auto"/>
          <w:highlight w:val="none"/>
          <w:u w:val="single"/>
        </w:rPr>
        <w:t>）</w:t>
      </w:r>
      <w:r>
        <w:rPr>
          <w:rFonts w:ascii="Times New Roman" w:hAnsi="Times New Roman"/>
          <w:color w:val="auto"/>
          <w:highlight w:val="none"/>
        </w:rPr>
        <w:t>。采用</w:t>
      </w:r>
      <w:r>
        <w:rPr>
          <w:rFonts w:hint="eastAsia" w:ascii="Times New Roman" w:hAnsi="Times New Roman"/>
          <w:color w:val="auto"/>
          <w:highlight w:val="none"/>
        </w:rPr>
        <w:t>电子邮件</w:t>
      </w:r>
      <w:r>
        <w:rPr>
          <w:rFonts w:ascii="Times New Roman" w:hAnsi="Times New Roman"/>
          <w:color w:val="auto"/>
          <w:highlight w:val="none"/>
        </w:rPr>
        <w:t>方式的，应在</w:t>
      </w: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r>
        <w:rPr>
          <w:rFonts w:ascii="Times New Roman" w:hAnsi="Times New Roman"/>
          <w:color w:val="auto"/>
          <w:highlight w:val="none"/>
          <w:u w:val="single"/>
        </w:rPr>
        <w:t xml:space="preserve">       </w:t>
      </w:r>
      <w:r>
        <w:rPr>
          <w:rFonts w:ascii="Times New Roman" w:hAnsi="Times New Roman"/>
          <w:color w:val="auto"/>
          <w:highlight w:val="none"/>
        </w:rPr>
        <w:t>时前将原件递交至</w:t>
      </w:r>
      <w:r>
        <w:rPr>
          <w:rFonts w:hint="eastAsia" w:ascii="Times New Roman" w:hAnsi="Times New Roman"/>
          <w:color w:val="auto"/>
          <w:highlight w:val="non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（详细地址）</w:t>
      </w:r>
      <w:r>
        <w:rPr>
          <w:rFonts w:ascii="Times New Roman" w:hAnsi="Times New Roman"/>
          <w:color w:val="auto"/>
          <w:highlight w:val="none"/>
        </w:rPr>
        <w:t>。</w:t>
      </w: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p>
    <w:p>
      <w:pPr>
        <w:spacing w:line="440" w:lineRule="exact"/>
        <w:ind w:firstLine="2100" w:firstLineChars="1000"/>
        <w:rPr>
          <w:rFonts w:ascii="Times New Roman" w:hAnsi="Times New Roman"/>
          <w:color w:val="auto"/>
          <w:highlight w:val="none"/>
        </w:rPr>
      </w:pPr>
      <w:r>
        <w:rPr>
          <w:rFonts w:hint="eastAsia" w:ascii="Times New Roman" w:hAnsi="Times New Roman"/>
          <w:color w:val="auto"/>
          <w:highlight w:val="none"/>
        </w:rPr>
        <w:t>采购人（或采购代理机构）：</w:t>
      </w:r>
      <w:r>
        <w:rPr>
          <w:rFonts w:ascii="Times New Roman" w:hAnsi="Times New Roman" w:eastAsia="黑体"/>
          <w:color w:val="auto"/>
          <w:sz w:val="28"/>
          <w:highlight w:val="none"/>
          <w:u w:val="single"/>
        </w:rPr>
        <w:t xml:space="preserve">               </w:t>
      </w:r>
      <w:r>
        <w:rPr>
          <w:rFonts w:ascii="Times New Roman" w:hAnsi="Times New Roman"/>
          <w:color w:val="auto"/>
          <w:highlight w:val="none"/>
          <w:u w:val="single"/>
        </w:rPr>
        <w:t>（</w:t>
      </w:r>
      <w:r>
        <w:rPr>
          <w:rFonts w:hint="eastAsia" w:ascii="Times New Roman" w:hAnsi="Times New Roman"/>
          <w:color w:val="auto"/>
          <w:highlight w:val="none"/>
          <w:u w:val="single"/>
        </w:rPr>
        <w:t>签字或</w:t>
      </w:r>
      <w:r>
        <w:rPr>
          <w:rFonts w:ascii="Times New Roman" w:hAnsi="Times New Roman"/>
          <w:color w:val="auto"/>
          <w:highlight w:val="none"/>
          <w:u w:val="single"/>
        </w:rPr>
        <w:t>盖单位章）</w:t>
      </w:r>
    </w:p>
    <w:p>
      <w:pPr>
        <w:spacing w:line="440" w:lineRule="exact"/>
        <w:rPr>
          <w:rFonts w:ascii="Times New Roman" w:hAnsi="Times New Roman"/>
          <w:color w:val="auto"/>
          <w:highlight w:val="none"/>
        </w:rPr>
      </w:pPr>
    </w:p>
    <w:p>
      <w:pPr>
        <w:spacing w:line="440" w:lineRule="exact"/>
        <w:rPr>
          <w:rFonts w:ascii="Times New Roman" w:hAnsi="Times New Roman"/>
          <w:color w:val="auto"/>
          <w:highlight w:val="none"/>
        </w:rPr>
      </w:pPr>
      <w:bookmarkStart w:id="271" w:name="_Toc152042355"/>
      <w:bookmarkStart w:id="272" w:name="_Toc144974546"/>
    </w:p>
    <w:p>
      <w:pPr>
        <w:spacing w:line="440" w:lineRule="exact"/>
        <w:ind w:right="840"/>
        <w:jc w:val="right"/>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r>
        <w:rPr>
          <w:rFonts w:ascii="Times New Roman" w:hAnsi="Times New Roman"/>
          <w:color w:val="auto"/>
          <w:highlight w:val="none"/>
        </w:rPr>
        <w:br w:type="page"/>
      </w:r>
    </w:p>
    <w:p>
      <w:pPr>
        <w:pStyle w:val="4"/>
        <w:ind w:firstLine="137"/>
        <w:rPr>
          <w:rFonts w:ascii="Times New Roman" w:hAnsi="Times New Roman"/>
          <w:color w:val="auto"/>
          <w:highlight w:val="none"/>
        </w:rPr>
      </w:pPr>
      <w:bookmarkStart w:id="273" w:name="_Toc28139"/>
      <w:bookmarkStart w:id="274" w:name="_Toc501460707"/>
      <w:r>
        <w:rPr>
          <w:rFonts w:ascii="Times New Roman" w:hAnsi="Times New Roman"/>
          <w:color w:val="auto"/>
          <w:highlight w:val="none"/>
        </w:rPr>
        <w:t>附件</w:t>
      </w:r>
      <w:r>
        <w:rPr>
          <w:rFonts w:hint="eastAsia" w:ascii="Times New Roman" w:hAnsi="Times New Roman"/>
          <w:color w:val="auto"/>
          <w:highlight w:val="none"/>
          <w:lang w:val="en-US" w:eastAsia="zh-CN"/>
        </w:rPr>
        <w:t>2</w:t>
      </w:r>
      <w:r>
        <w:rPr>
          <w:rFonts w:ascii="Times New Roman" w:hAnsi="Times New Roman"/>
          <w:color w:val="auto"/>
          <w:highlight w:val="none"/>
        </w:rPr>
        <w:t>：问题的澄清</w:t>
      </w:r>
      <w:bookmarkEnd w:id="273"/>
      <w:bookmarkEnd w:id="274"/>
    </w:p>
    <w:p>
      <w:pPr>
        <w:spacing w:line="400" w:lineRule="exact"/>
        <w:jc w:val="center"/>
        <w:rPr>
          <w:rFonts w:ascii="Times New Roman" w:hAnsi="Times New Roman" w:eastAsia="黑体"/>
          <w:color w:val="auto"/>
          <w:sz w:val="28"/>
          <w:highlight w:val="none"/>
        </w:rPr>
      </w:pPr>
    </w:p>
    <w:p>
      <w:pPr>
        <w:spacing w:line="400" w:lineRule="exact"/>
        <w:jc w:val="center"/>
        <w:rPr>
          <w:rFonts w:ascii="Times New Roman" w:hAnsi="Times New Roman" w:eastAsia="黑体"/>
          <w:color w:val="auto"/>
          <w:sz w:val="28"/>
          <w:highlight w:val="none"/>
        </w:rPr>
      </w:pPr>
      <w:r>
        <w:rPr>
          <w:rFonts w:ascii="Times New Roman" w:hAnsi="Times New Roman" w:eastAsia="黑体"/>
          <w:color w:val="auto"/>
          <w:sz w:val="28"/>
          <w:highlight w:val="none"/>
        </w:rPr>
        <w:t>问</w:t>
      </w:r>
      <w:bookmarkEnd w:id="271"/>
      <w:r>
        <w:rPr>
          <w:rFonts w:ascii="Times New Roman" w:hAnsi="Times New Roman" w:eastAsia="黑体"/>
          <w:color w:val="auto"/>
          <w:sz w:val="28"/>
          <w:highlight w:val="none"/>
        </w:rPr>
        <w:t>题</w:t>
      </w:r>
      <w:bookmarkStart w:id="275" w:name="_Toc152042356"/>
      <w:bookmarkStart w:id="276" w:name="_Toc152045579"/>
      <w:bookmarkStart w:id="277" w:name="_Toc384308263"/>
      <w:bookmarkStart w:id="278" w:name="_Toc247527604"/>
      <w:bookmarkStart w:id="279" w:name="_Toc361508637"/>
      <w:bookmarkStart w:id="280" w:name="_Toc3622"/>
      <w:bookmarkStart w:id="281" w:name="_Toc352691524"/>
      <w:bookmarkStart w:id="282" w:name="_Toc369531568"/>
      <w:bookmarkStart w:id="283" w:name="_Toc247514003"/>
      <w:bookmarkStart w:id="284" w:name="_Toc300834999"/>
      <w:r>
        <w:rPr>
          <w:rFonts w:ascii="Times New Roman" w:hAnsi="Times New Roman" w:eastAsia="黑体"/>
          <w:color w:val="auto"/>
          <w:sz w:val="28"/>
          <w:highlight w:val="none"/>
        </w:rPr>
        <w:t>的澄清</w:t>
      </w:r>
    </w:p>
    <w:p>
      <w:pPr>
        <w:spacing w:line="400" w:lineRule="exact"/>
        <w:jc w:val="center"/>
        <w:rPr>
          <w:rFonts w:ascii="Times New Roman" w:hAnsi="Times New Roman"/>
          <w:color w:val="auto"/>
          <w:highlight w:val="none"/>
        </w:rPr>
      </w:pPr>
      <w:r>
        <w:rPr>
          <w:rFonts w:ascii="Times New Roman" w:hAnsi="Times New Roman"/>
          <w:color w:val="auto"/>
          <w:highlight w:val="none"/>
        </w:rPr>
        <w:t>（</w:t>
      </w:r>
      <w:r>
        <w:rPr>
          <w:rFonts w:ascii="楷体" w:hAnsi="楷体" w:eastAsia="楷体"/>
          <w:color w:val="auto"/>
          <w:highlight w:val="none"/>
        </w:rPr>
        <w:t>编号</w:t>
      </w:r>
      <w:bookmarkEnd w:id="272"/>
      <w:bookmarkEnd w:id="275"/>
      <w:bookmarkEnd w:id="276"/>
      <w:bookmarkEnd w:id="277"/>
      <w:bookmarkEnd w:id="278"/>
      <w:bookmarkEnd w:id="279"/>
      <w:bookmarkEnd w:id="280"/>
      <w:bookmarkEnd w:id="281"/>
      <w:bookmarkEnd w:id="282"/>
      <w:bookmarkEnd w:id="283"/>
      <w:bookmarkEnd w:id="284"/>
      <w:r>
        <w:rPr>
          <w:rFonts w:ascii="楷体" w:hAnsi="楷体" w:eastAsia="楷体"/>
          <w:color w:val="auto"/>
          <w:highlight w:val="none"/>
        </w:rPr>
        <w:t>：</w:t>
      </w:r>
      <w:r>
        <w:rPr>
          <w:rFonts w:ascii="楷体" w:hAnsi="楷体" w:eastAsia="楷体"/>
          <w:color w:val="auto"/>
          <w:sz w:val="28"/>
          <w:highlight w:val="none"/>
          <w:u w:val="single"/>
        </w:rPr>
        <w:t xml:space="preserve">           </w:t>
      </w:r>
      <w:r>
        <w:rPr>
          <w:rFonts w:ascii="Times New Roman" w:hAnsi="Times New Roman"/>
          <w:color w:val="auto"/>
          <w:highlight w:val="none"/>
        </w:rPr>
        <w:t>）</w:t>
      </w:r>
    </w:p>
    <w:p>
      <w:pPr>
        <w:adjustRightInd w:val="0"/>
        <w:snapToGrid w:val="0"/>
        <w:spacing w:line="360" w:lineRule="auto"/>
        <w:rPr>
          <w:rFonts w:ascii="Times New Roman" w:hAnsi="Times New Roman"/>
          <w:color w:val="auto"/>
          <w:highlight w:val="none"/>
        </w:rPr>
      </w:pPr>
    </w:p>
    <w:p>
      <w:pPr>
        <w:adjustRightInd w:val="0"/>
        <w:snapToGrid w:val="0"/>
        <w:spacing w:line="360" w:lineRule="auto"/>
        <w:rPr>
          <w:rFonts w:ascii="Times New Roman" w:hAnsi="Times New Roman"/>
          <w:color w:val="auto"/>
          <w:highlight w:val="none"/>
        </w:rPr>
      </w:pPr>
      <w:r>
        <w:rPr>
          <w:rFonts w:hint="eastAsia" w:ascii="Times New Roman" w:hAnsi="Times New Roman"/>
          <w:color w:val="auto"/>
          <w:highlight w:val="none"/>
        </w:rPr>
        <w:t>评审小组</w:t>
      </w:r>
      <w:r>
        <w:rPr>
          <w:rFonts w:ascii="Times New Roman" w:hAnsi="Times New Roman"/>
          <w:color w:val="auto"/>
          <w:highlight w:val="none"/>
        </w:rPr>
        <w:t>：</w:t>
      </w:r>
    </w:p>
    <w:p>
      <w:pPr>
        <w:adjustRightInd w:val="0"/>
        <w:snapToGrid w:val="0"/>
        <w:spacing w:line="360" w:lineRule="auto"/>
        <w:rPr>
          <w:rFonts w:ascii="Times New Roman" w:hAnsi="Times New Roman"/>
          <w:color w:val="auto"/>
          <w:highlight w:val="none"/>
        </w:rPr>
      </w:pPr>
    </w:p>
    <w:p>
      <w:pPr>
        <w:adjustRightInd w:val="0"/>
        <w:snapToGrid w:val="0"/>
        <w:spacing w:line="360" w:lineRule="auto"/>
        <w:rPr>
          <w:rFonts w:ascii="Times New Roman" w:hAnsi="Times New Roman"/>
          <w:color w:val="auto"/>
          <w:highlight w:val="none"/>
        </w:rPr>
      </w:pPr>
      <w:r>
        <w:rPr>
          <w:rFonts w:ascii="Times New Roman" w:hAnsi="Times New Roman"/>
          <w:color w:val="auto"/>
          <w:highlight w:val="none"/>
        </w:rPr>
        <w:t>　　问题澄清通知（编号：</w:t>
      </w:r>
      <w:r>
        <w:rPr>
          <w:rFonts w:ascii="Times New Roman" w:hAnsi="Times New Roman" w:eastAsia="黑体"/>
          <w:color w:val="auto"/>
          <w:sz w:val="28"/>
          <w:highlight w:val="none"/>
          <w:u w:val="single"/>
        </w:rPr>
        <w:t xml:space="preserve">      </w:t>
      </w:r>
      <w:r>
        <w:rPr>
          <w:rFonts w:ascii="Times New Roman" w:hAnsi="Times New Roman"/>
          <w:color w:val="auto"/>
          <w:highlight w:val="none"/>
        </w:rPr>
        <w:t>）已收悉，现</w:t>
      </w:r>
      <w:r>
        <w:rPr>
          <w:rFonts w:hint="eastAsia" w:ascii="Times New Roman" w:hAnsi="Times New Roman"/>
          <w:color w:val="auto"/>
          <w:highlight w:val="none"/>
        </w:rPr>
        <w:t>澄清、说明和补正</w:t>
      </w:r>
      <w:r>
        <w:rPr>
          <w:rFonts w:ascii="Times New Roman" w:hAnsi="Times New Roman"/>
          <w:color w:val="auto"/>
          <w:highlight w:val="none"/>
        </w:rPr>
        <w:t>如下：</w:t>
      </w:r>
    </w:p>
    <w:p>
      <w:pPr>
        <w:adjustRightInd w:val="0"/>
        <w:snapToGrid w:val="0"/>
        <w:spacing w:line="360" w:lineRule="auto"/>
        <w:rPr>
          <w:rFonts w:ascii="Times New Roman" w:hAnsi="Times New Roman"/>
          <w:color w:val="auto"/>
          <w:highlight w:val="none"/>
        </w:rPr>
      </w:pPr>
      <w:r>
        <w:rPr>
          <w:rFonts w:ascii="Times New Roman" w:hAnsi="Times New Roman"/>
          <w:color w:val="auto"/>
          <w:highlight w:val="none"/>
        </w:rPr>
        <w:t>　     1.</w:t>
      </w:r>
    </w:p>
    <w:p>
      <w:pPr>
        <w:adjustRightInd w:val="0"/>
        <w:snapToGrid w:val="0"/>
        <w:spacing w:line="360" w:lineRule="auto"/>
        <w:rPr>
          <w:rFonts w:ascii="Times New Roman" w:hAnsi="Times New Roman"/>
          <w:color w:val="auto"/>
          <w:highlight w:val="none"/>
        </w:rPr>
      </w:pPr>
      <w:r>
        <w:rPr>
          <w:rFonts w:ascii="Times New Roman" w:hAnsi="Times New Roman"/>
          <w:color w:val="auto"/>
          <w:highlight w:val="none"/>
        </w:rPr>
        <w:t>　     2.</w:t>
      </w:r>
    </w:p>
    <w:p>
      <w:pPr>
        <w:adjustRightInd w:val="0"/>
        <w:snapToGrid w:val="0"/>
        <w:spacing w:line="360" w:lineRule="auto"/>
        <w:rPr>
          <w:rFonts w:ascii="Times New Roman" w:hAnsi="Times New Roman"/>
          <w:color w:val="auto"/>
          <w:highlight w:val="none"/>
        </w:rPr>
      </w:pPr>
      <w:r>
        <w:rPr>
          <w:rFonts w:ascii="Times New Roman" w:hAnsi="Times New Roman"/>
          <w:color w:val="auto"/>
          <w:highlight w:val="none"/>
        </w:rPr>
        <w:t>　    .....</w:t>
      </w:r>
    </w:p>
    <w:p>
      <w:pPr>
        <w:adjustRightInd w:val="0"/>
        <w:snapToGrid w:val="0"/>
        <w:spacing w:line="360" w:lineRule="auto"/>
        <w:rPr>
          <w:rFonts w:ascii="Times New Roman" w:hAnsi="Times New Roman"/>
          <w:color w:val="auto"/>
          <w:highlight w:val="none"/>
        </w:rPr>
      </w:pPr>
    </w:p>
    <w:p>
      <w:pPr>
        <w:adjustRightInd w:val="0"/>
        <w:snapToGrid w:val="0"/>
        <w:spacing w:line="360" w:lineRule="auto"/>
        <w:rPr>
          <w:rFonts w:ascii="Times New Roman" w:hAnsi="Times New Roman"/>
          <w:color w:val="auto"/>
          <w:highlight w:val="none"/>
        </w:rPr>
      </w:pPr>
      <w:r>
        <w:rPr>
          <w:rFonts w:ascii="Times New Roman" w:hAnsi="Times New Roman"/>
          <w:color w:val="auto"/>
          <w:highlight w:val="none"/>
        </w:rPr>
        <w:t>　</w:t>
      </w:r>
    </w:p>
    <w:p>
      <w:pPr>
        <w:adjustRightInd w:val="0"/>
        <w:snapToGrid w:val="0"/>
        <w:spacing w:line="360" w:lineRule="auto"/>
        <w:rPr>
          <w:rFonts w:ascii="Times New Roman" w:hAnsi="Times New Roman"/>
          <w:color w:val="auto"/>
          <w:highlight w:val="none"/>
        </w:rPr>
      </w:pP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上述问题</w:t>
      </w:r>
      <w:r>
        <w:rPr>
          <w:rFonts w:hint="eastAsia" w:ascii="Times New Roman" w:hAnsi="Times New Roman"/>
          <w:color w:val="auto"/>
          <w:highlight w:val="none"/>
        </w:rPr>
        <w:t>澄清、说明和补正</w:t>
      </w:r>
      <w:r>
        <w:rPr>
          <w:rFonts w:ascii="Times New Roman" w:hAnsi="Times New Roman"/>
          <w:color w:val="auto"/>
          <w:highlight w:val="none"/>
        </w:rPr>
        <w:t>，不改变我方响应文件的实质性内容</w:t>
      </w:r>
      <w:r>
        <w:rPr>
          <w:rFonts w:hint="eastAsia" w:ascii="Times New Roman" w:hAnsi="Times New Roman"/>
          <w:color w:val="auto"/>
          <w:highlight w:val="none"/>
        </w:rPr>
        <w:t>，</w:t>
      </w:r>
      <w:r>
        <w:rPr>
          <w:rFonts w:ascii="Times New Roman" w:hAnsi="Times New Roman"/>
          <w:color w:val="auto"/>
          <w:highlight w:val="none"/>
        </w:rPr>
        <w:t>构成我方</w:t>
      </w:r>
      <w:r>
        <w:rPr>
          <w:rFonts w:hint="eastAsia" w:ascii="Times New Roman" w:hAnsi="Times New Roman"/>
          <w:color w:val="auto"/>
          <w:highlight w:val="none"/>
        </w:rPr>
        <w:t>响应文件</w:t>
      </w:r>
      <w:r>
        <w:rPr>
          <w:rFonts w:ascii="Times New Roman" w:hAnsi="Times New Roman"/>
          <w:color w:val="auto"/>
          <w:highlight w:val="none"/>
        </w:rPr>
        <w:t>的组成部分。</w:t>
      </w:r>
    </w:p>
    <w:p>
      <w:pPr>
        <w:adjustRightInd w:val="0"/>
        <w:snapToGrid w:val="0"/>
        <w:spacing w:line="360" w:lineRule="auto"/>
        <w:rPr>
          <w:rFonts w:ascii="Times New Roman" w:hAnsi="Times New Roman"/>
          <w:color w:val="auto"/>
          <w:highlight w:val="none"/>
        </w:rPr>
      </w:pPr>
    </w:p>
    <w:p>
      <w:pPr>
        <w:adjustRightInd w:val="0"/>
        <w:snapToGrid w:val="0"/>
        <w:spacing w:line="360" w:lineRule="auto"/>
        <w:rPr>
          <w:rFonts w:ascii="Times New Roman" w:hAnsi="Times New Roman"/>
          <w:color w:val="auto"/>
          <w:highlight w:val="none"/>
        </w:rPr>
      </w:pPr>
    </w:p>
    <w:p>
      <w:pPr>
        <w:adjustRightInd w:val="0"/>
        <w:snapToGrid w:val="0"/>
        <w:spacing w:line="360" w:lineRule="auto"/>
        <w:ind w:firstLine="2520" w:firstLineChars="120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w:t>
      </w:r>
      <w:r>
        <w:rPr>
          <w:rFonts w:ascii="Times New Roman" w:hAnsi="Times New Roman" w:eastAsia="黑体"/>
          <w:color w:val="auto"/>
          <w:sz w:val="28"/>
          <w:highlight w:val="none"/>
          <w:u w:val="single"/>
        </w:rPr>
        <w:t xml:space="preserve">                         </w:t>
      </w:r>
      <w:r>
        <w:rPr>
          <w:rFonts w:ascii="Times New Roman" w:hAnsi="Times New Roman"/>
          <w:color w:val="auto"/>
          <w:highlight w:val="none"/>
          <w:u w:val="single"/>
        </w:rPr>
        <w:t>（盖单位章）</w:t>
      </w:r>
    </w:p>
    <w:p>
      <w:pPr>
        <w:adjustRightInd w:val="0"/>
        <w:snapToGrid w:val="0"/>
        <w:spacing w:line="360" w:lineRule="auto"/>
        <w:ind w:firstLine="2520" w:firstLineChars="1200"/>
        <w:rPr>
          <w:rFonts w:ascii="Times New Roman" w:hAnsi="Times New Roman"/>
          <w:color w:val="auto"/>
          <w:highlight w:val="none"/>
        </w:rPr>
      </w:pPr>
      <w:r>
        <w:rPr>
          <w:rFonts w:hint="eastAsia" w:ascii="Times New Roman" w:hAnsi="Times New Roman"/>
          <w:color w:val="auto"/>
          <w:highlight w:val="none"/>
        </w:rPr>
        <w:t>或</w:t>
      </w:r>
    </w:p>
    <w:p>
      <w:pPr>
        <w:adjustRightInd w:val="0"/>
        <w:snapToGrid w:val="0"/>
        <w:spacing w:line="360" w:lineRule="auto"/>
        <w:ind w:firstLine="2520" w:firstLineChars="1200"/>
        <w:rPr>
          <w:rFonts w:ascii="Times New Roman" w:hAnsi="Times New Roman"/>
          <w:color w:val="auto"/>
          <w:highlight w:val="none"/>
        </w:rPr>
      </w:pPr>
      <w:r>
        <w:rPr>
          <w:rFonts w:ascii="Times New Roman" w:hAnsi="Times New Roman"/>
          <w:color w:val="auto"/>
          <w:highlight w:val="none"/>
        </w:rPr>
        <w:t>法定代表人（单位负责人）或其委托代理人：</w:t>
      </w:r>
      <w:r>
        <w:rPr>
          <w:rFonts w:ascii="Times New Roman" w:hAnsi="Times New Roman"/>
          <w:color w:val="auto"/>
          <w:highlight w:val="none"/>
          <w:u w:val="single"/>
        </w:rPr>
        <w:t xml:space="preserve">        （签字）</w:t>
      </w:r>
    </w:p>
    <w:p>
      <w:pPr>
        <w:adjustRightInd w:val="0"/>
        <w:snapToGrid w:val="0"/>
        <w:spacing w:line="360" w:lineRule="auto"/>
        <w:rPr>
          <w:rFonts w:ascii="Times New Roman" w:hAnsi="Times New Roman"/>
          <w:color w:val="auto"/>
          <w:highlight w:val="none"/>
        </w:rPr>
      </w:pPr>
      <w:r>
        <w:rPr>
          <w:rFonts w:ascii="Times New Roman" w:hAnsi="Times New Roman"/>
          <w:color w:val="auto"/>
          <w:highlight w:val="none"/>
        </w:rPr>
        <w:t>　　　　　　　　　　　　　　　</w:t>
      </w:r>
    </w:p>
    <w:p>
      <w:pPr>
        <w:adjustRightInd w:val="0"/>
        <w:snapToGrid w:val="0"/>
        <w:spacing w:line="360" w:lineRule="auto"/>
        <w:jc w:val="right"/>
        <w:rPr>
          <w:rFonts w:ascii="Times New Roman" w:hAnsi="Times New Roman"/>
          <w:color w:val="auto"/>
          <w:highlight w:val="none"/>
        </w:rPr>
      </w:pPr>
      <w:r>
        <w:rPr>
          <w:rFonts w:ascii="Times New Roman" w:hAnsi="Times New Roman"/>
          <w:color w:val="auto"/>
          <w:highlight w:val="none"/>
        </w:rPr>
        <w:t>　　　　　　　　　　　　　　　</w:t>
      </w:r>
      <w:r>
        <w:rPr>
          <w:rFonts w:ascii="Times New Roman" w:hAnsi="Times New Roman"/>
          <w:color w:val="auto"/>
          <w:highlight w:val="none"/>
          <w:u w:val="single"/>
        </w:rPr>
        <w:t xml:space="preserve">        </w:t>
      </w:r>
      <w:r>
        <w:rPr>
          <w:rFonts w:ascii="Times New Roman" w:hAnsi="Times New Roman"/>
          <w:color w:val="auto"/>
          <w:highlight w:val="none"/>
        </w:rPr>
        <w:t>年</w:t>
      </w:r>
      <w:bookmarkStart w:id="285" w:name="_Toc247514005"/>
      <w:bookmarkStart w:id="286" w:name="_Toc384308266"/>
      <w:bookmarkStart w:id="287" w:name="_Toc15139"/>
      <w:bookmarkStart w:id="288" w:name="_Toc144974548"/>
      <w:bookmarkStart w:id="289" w:name="_Toc152042358"/>
      <w:bookmarkStart w:id="290" w:name="_Toc300835002"/>
      <w:bookmarkStart w:id="291" w:name="_Toc369531571"/>
      <w:bookmarkStart w:id="292" w:name="_Toc247527606"/>
      <w:bookmarkStart w:id="293" w:name="_Toc361508640"/>
      <w:bookmarkStart w:id="294" w:name="_Toc152045581"/>
      <w:bookmarkStart w:id="295" w:name="_Toc352691527"/>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p>
    <w:bookmarkEnd w:id="285"/>
    <w:bookmarkEnd w:id="286"/>
    <w:bookmarkEnd w:id="287"/>
    <w:bookmarkEnd w:id="288"/>
    <w:bookmarkEnd w:id="289"/>
    <w:bookmarkEnd w:id="290"/>
    <w:bookmarkEnd w:id="291"/>
    <w:bookmarkEnd w:id="292"/>
    <w:bookmarkEnd w:id="293"/>
    <w:bookmarkEnd w:id="294"/>
    <w:bookmarkEnd w:id="295"/>
    <w:p>
      <w:pPr>
        <w:adjustRightInd w:val="0"/>
        <w:snapToGrid w:val="0"/>
        <w:spacing w:line="360" w:lineRule="auto"/>
        <w:rPr>
          <w:rFonts w:ascii="Times New Roman" w:hAnsi="Times New Roman"/>
          <w:color w:val="auto"/>
          <w:highlight w:val="none"/>
        </w:rPr>
      </w:pPr>
    </w:p>
    <w:p>
      <w:pPr>
        <w:adjustRightInd w:val="0"/>
        <w:snapToGrid w:val="0"/>
        <w:spacing w:line="360" w:lineRule="auto"/>
        <w:rPr>
          <w:rFonts w:ascii="Times New Roman" w:hAnsi="Times New Roman"/>
          <w:color w:val="auto"/>
          <w:highlight w:val="none"/>
        </w:rPr>
      </w:pPr>
      <w:r>
        <w:rPr>
          <w:rFonts w:ascii="Times New Roman" w:hAnsi="Times New Roman"/>
          <w:color w:val="auto"/>
          <w:highlight w:val="none"/>
        </w:rPr>
        <w:br w:type="page"/>
      </w:r>
    </w:p>
    <w:p>
      <w:pPr>
        <w:pStyle w:val="4"/>
        <w:ind w:firstLine="137"/>
        <w:rPr>
          <w:rFonts w:hint="eastAsia" w:ascii="Times New Roman" w:hAnsi="Times New Roman" w:eastAsia="黑体"/>
          <w:color w:val="auto"/>
          <w:highlight w:val="none"/>
          <w:lang w:eastAsia="zh-CN"/>
        </w:rPr>
      </w:pPr>
      <w:bookmarkStart w:id="296" w:name="_Toc5248"/>
      <w:bookmarkStart w:id="297" w:name="_Toc501460708"/>
      <w:r>
        <w:rPr>
          <w:rFonts w:ascii="Times New Roman" w:hAnsi="Times New Roman"/>
          <w:color w:val="auto"/>
          <w:highlight w:val="none"/>
        </w:rPr>
        <w:t>附件</w:t>
      </w:r>
      <w:r>
        <w:rPr>
          <w:rFonts w:hint="eastAsia" w:ascii="Times New Roman" w:hAnsi="Times New Roman"/>
          <w:color w:val="auto"/>
          <w:highlight w:val="none"/>
        </w:rPr>
        <w:t>4</w:t>
      </w:r>
      <w:r>
        <w:rPr>
          <w:rFonts w:ascii="Times New Roman" w:hAnsi="Times New Roman"/>
          <w:color w:val="auto"/>
          <w:highlight w:val="none"/>
        </w:rPr>
        <w:t>：</w:t>
      </w:r>
      <w:r>
        <w:rPr>
          <w:rFonts w:hint="eastAsia" w:ascii="Times New Roman" w:hAnsi="Times New Roman"/>
          <w:color w:val="auto"/>
          <w:highlight w:val="none"/>
        </w:rPr>
        <w:t>成交</w:t>
      </w:r>
      <w:r>
        <w:rPr>
          <w:rFonts w:ascii="Times New Roman" w:hAnsi="Times New Roman"/>
          <w:color w:val="auto"/>
          <w:highlight w:val="none"/>
        </w:rPr>
        <w:t>通知书</w:t>
      </w:r>
      <w:bookmarkEnd w:id="296"/>
      <w:bookmarkEnd w:id="297"/>
      <w:r>
        <w:rPr>
          <w:rFonts w:hint="eastAsia" w:ascii="Times New Roman" w:hAnsi="Times New Roman"/>
          <w:color w:val="auto"/>
          <w:highlight w:val="none"/>
          <w:lang w:eastAsia="zh-CN"/>
        </w:rPr>
        <w:t>以中标公告为准</w:t>
      </w: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adjustRightInd w:val="0"/>
        <w:snapToGrid w:val="0"/>
        <w:spacing w:line="360" w:lineRule="auto"/>
        <w:rPr>
          <w:rFonts w:ascii="Times New Roman" w:hAnsi="Times New Roman"/>
          <w:color w:val="auto"/>
          <w:highlight w:val="none"/>
        </w:rPr>
      </w:pPr>
    </w:p>
    <w:p>
      <w:pPr>
        <w:spacing w:line="400" w:lineRule="exact"/>
        <w:rPr>
          <w:rFonts w:ascii="Times New Roman" w:hAnsi="Times New Roman"/>
          <w:color w:val="auto"/>
          <w:highlight w:val="none"/>
        </w:rPr>
      </w:pPr>
      <w:r>
        <w:rPr>
          <w:rFonts w:ascii="Times New Roman" w:hAnsi="Times New Roman"/>
          <w:color w:val="auto"/>
          <w:highlight w:val="none"/>
        </w:rPr>
        <w:br w:type="page"/>
      </w:r>
    </w:p>
    <w:p>
      <w:pPr>
        <w:spacing w:line="400" w:lineRule="exact"/>
        <w:rPr>
          <w:rFonts w:ascii="Times New Roman" w:hAnsi="Times New Roman"/>
          <w:color w:val="auto"/>
          <w:highlight w:val="none"/>
        </w:rPr>
      </w:pPr>
    </w:p>
    <w:p>
      <w:pPr>
        <w:pStyle w:val="2"/>
        <w:spacing w:line="240" w:lineRule="auto"/>
        <w:jc w:val="center"/>
        <w:rPr>
          <w:color w:val="000000"/>
          <w:highlight w:val="none"/>
        </w:rPr>
      </w:pPr>
      <w:bookmarkStart w:id="298" w:name="_Toc26227"/>
      <w:bookmarkStart w:id="299" w:name="_Toc501460713"/>
      <w:r>
        <w:rPr>
          <w:color w:val="000000"/>
          <w:highlight w:val="none"/>
        </w:rPr>
        <w:t>第三章</w:t>
      </w:r>
      <w:r>
        <w:rPr>
          <w:rFonts w:hint="eastAsia"/>
          <w:color w:val="000000"/>
          <w:highlight w:val="none"/>
        </w:rPr>
        <w:t xml:space="preserve">  评审</w:t>
      </w:r>
      <w:r>
        <w:rPr>
          <w:color w:val="000000"/>
          <w:highlight w:val="none"/>
        </w:rPr>
        <w:t>办法</w:t>
      </w:r>
      <w:bookmarkEnd w:id="298"/>
    </w:p>
    <w:p>
      <w:pPr>
        <w:pStyle w:val="3"/>
        <w:spacing w:line="240" w:lineRule="auto"/>
        <w:jc w:val="center"/>
        <w:rPr>
          <w:rFonts w:ascii="Times New Roman" w:hAnsi="Times New Roman"/>
          <w:color w:val="000000"/>
          <w:highlight w:val="none"/>
        </w:rPr>
      </w:pPr>
      <w:bookmarkStart w:id="300" w:name="_Toc9957"/>
      <w:r>
        <w:rPr>
          <w:rFonts w:hint="eastAsia" w:ascii="Times New Roman" w:hAnsi="Times New Roman"/>
          <w:color w:val="000000"/>
          <w:highlight w:val="none"/>
        </w:rPr>
        <w:t>评审</w:t>
      </w:r>
      <w:r>
        <w:rPr>
          <w:rFonts w:ascii="Times New Roman" w:hAnsi="Times New Roman"/>
          <w:color w:val="000000"/>
          <w:highlight w:val="none"/>
        </w:rPr>
        <w:t>办法前附表</w:t>
      </w:r>
      <w:bookmarkEnd w:id="300"/>
    </w:p>
    <w:tbl>
      <w:tblPr>
        <w:tblStyle w:val="36"/>
        <w:tblW w:w="864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085"/>
        <w:gridCol w:w="2317"/>
        <w:gridCol w:w="45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794" w:type="dxa"/>
            <w:gridSpan w:val="2"/>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highlight w:val="none"/>
              </w:rPr>
            </w:pPr>
            <w:r>
              <w:rPr>
                <w:highlight w:val="none"/>
              </w:rPr>
              <w:br w:type="page"/>
            </w:r>
            <w:r>
              <w:rPr>
                <w:rFonts w:ascii="Times New Roman" w:hAnsi="Times New Roman"/>
                <w:b/>
                <w:highlight w:val="none"/>
              </w:rPr>
              <w:t>条款</w:t>
            </w:r>
            <w:r>
              <w:rPr>
                <w:rFonts w:hint="eastAsia" w:ascii="Times New Roman" w:hAnsi="Times New Roman"/>
                <w:b/>
                <w:highlight w:val="none"/>
              </w:rPr>
              <w:t>号及名称</w:t>
            </w: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highlight w:val="none"/>
              </w:rPr>
            </w:pPr>
            <w:r>
              <w:rPr>
                <w:rFonts w:ascii="Times New Roman" w:hAnsi="Times New Roman"/>
                <w:b/>
                <w:highlight w:val="none"/>
              </w:rPr>
              <w:t>评审因素</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highlight w:val="none"/>
              </w:rPr>
            </w:pPr>
            <w:r>
              <w:rPr>
                <w:rFonts w:ascii="Times New Roman" w:hAnsi="Times New Roman"/>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ascii="Times New Roman" w:hAnsi="Times New Roman"/>
                <w:highlight w:val="none"/>
              </w:rPr>
              <w:t>1</w:t>
            </w:r>
          </w:p>
        </w:tc>
        <w:tc>
          <w:tcPr>
            <w:tcW w:w="10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hint="eastAsia" w:ascii="Times New Roman" w:hAnsi="Times New Roman"/>
                <w:highlight w:val="none"/>
              </w:rPr>
              <w:t>评审方法</w:t>
            </w: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hint="eastAsia" w:ascii="Times New Roman" w:hAnsi="Times New Roman"/>
                <w:highlight w:val="none"/>
              </w:rPr>
              <w:t>评审方法</w:t>
            </w:r>
          </w:p>
        </w:tc>
        <w:tc>
          <w:tcPr>
            <w:tcW w:w="4536"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ascii="Times New Roman" w:hAnsi="Times New Roman"/>
                <w:highlight w:val="none"/>
              </w:rPr>
            </w:pPr>
            <w:r>
              <w:rPr>
                <w:rFonts w:hint="eastAsia" w:ascii="华文宋体" w:hAnsi="华文宋体" w:eastAsia="华文宋体"/>
                <w:highlight w:val="none"/>
              </w:rPr>
              <w:t>□</w:t>
            </w:r>
            <w:r>
              <w:rPr>
                <w:rFonts w:hint="eastAsia" w:ascii="Times New Roman" w:hAnsi="Times New Roman"/>
                <w:highlight w:val="none"/>
              </w:rPr>
              <w:t>最低价法</w:t>
            </w:r>
          </w:p>
          <w:p>
            <w:pPr>
              <w:adjustRightInd w:val="0"/>
              <w:snapToGrid w:val="0"/>
              <w:jc w:val="left"/>
              <w:rPr>
                <w:rFonts w:ascii="Times New Roman" w:hAnsi="Times New Roman"/>
                <w:highlight w:val="none"/>
              </w:rPr>
            </w:pPr>
            <w:r>
              <w:rPr>
                <w:rFonts w:hint="eastAsia" w:ascii="华文宋体" w:hAnsi="华文宋体" w:eastAsia="华文宋体"/>
                <w:highlight w:val="none"/>
                <w:lang w:eastAsia="zh-CN"/>
              </w:rPr>
              <w:t>☑</w:t>
            </w:r>
            <w:r>
              <w:rPr>
                <w:rFonts w:hint="eastAsia" w:ascii="Times New Roman" w:hAnsi="Times New Roman"/>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vMerge w:val="restart"/>
            <w:tcBorders>
              <w:top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ascii="Times New Roman" w:hAnsi="Times New Roman"/>
                <w:highlight w:val="none"/>
              </w:rPr>
              <w:t>2.1.1</w:t>
            </w:r>
          </w:p>
        </w:tc>
        <w:tc>
          <w:tcPr>
            <w:tcW w:w="1085" w:type="dxa"/>
            <w:vMerge w:val="restart"/>
            <w:tcBorders>
              <w:top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ascii="Times New Roman" w:hAnsi="Times New Roman"/>
                <w:highlight w:val="none"/>
              </w:rPr>
              <w:t>形式评审标准</w:t>
            </w: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hint="eastAsia" w:ascii="Times New Roman" w:hAnsi="Times New Roman"/>
                <w:highlight w:val="none"/>
              </w:rPr>
              <w:t>供应商</w:t>
            </w:r>
            <w:r>
              <w:rPr>
                <w:rFonts w:ascii="Times New Roman" w:hAnsi="Times New Roman"/>
                <w:highlight w:val="none"/>
              </w:rPr>
              <w:t>名称</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r>
              <w:rPr>
                <w:rFonts w:ascii="Times New Roman" w:hAnsi="Times New Roman"/>
                <w:highlight w:val="none"/>
              </w:rPr>
              <w:t>与</w:t>
            </w:r>
            <w:r>
              <w:rPr>
                <w:rFonts w:hint="eastAsia"/>
                <w:highlight w:val="none"/>
              </w:rPr>
              <w:t>市场监管</w:t>
            </w:r>
            <w:r>
              <w:rPr>
                <w:highlight w:val="none"/>
              </w:rPr>
              <w:t>部门或其他行政机关颁发的可以合法开展业务的执照或证书</w:t>
            </w:r>
            <w:r>
              <w:rPr>
                <w:rFonts w:ascii="Times New Roman" w:hAnsi="Times New Roman"/>
                <w:highlight w:val="none"/>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vMerge w:val="continue"/>
            <w:tcBorders>
              <w:right w:val="single" w:color="auto" w:sz="4" w:space="0"/>
            </w:tcBorders>
            <w:vAlign w:val="center"/>
          </w:tcPr>
          <w:p>
            <w:pPr>
              <w:adjustRightInd w:val="0"/>
              <w:snapToGrid w:val="0"/>
              <w:rPr>
                <w:rFonts w:ascii="Times New Roman" w:hAnsi="Times New Roman"/>
                <w:highlight w:val="none"/>
              </w:rPr>
            </w:pPr>
          </w:p>
        </w:tc>
        <w:tc>
          <w:tcPr>
            <w:tcW w:w="1085" w:type="dxa"/>
            <w:vMerge w:val="continue"/>
            <w:tcBorders>
              <w:right w:val="single" w:color="auto" w:sz="4" w:space="0"/>
            </w:tcBorders>
            <w:vAlign w:val="center"/>
          </w:tcPr>
          <w:p>
            <w:pPr>
              <w:adjustRightInd w:val="0"/>
              <w:snapToGrid w:val="0"/>
              <w:rPr>
                <w:rFonts w:ascii="Times New Roman" w:hAnsi="Times New Roman"/>
                <w:highlight w:val="none"/>
              </w:rPr>
            </w:pP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hint="eastAsia" w:ascii="Times New Roman" w:hAnsi="Times New Roman"/>
                <w:highlight w:val="none"/>
              </w:rPr>
              <w:t>响应文件</w:t>
            </w:r>
            <w:r>
              <w:rPr>
                <w:rFonts w:ascii="Times New Roman" w:hAnsi="Times New Roman"/>
                <w:highlight w:val="none"/>
              </w:rPr>
              <w:t>签字盖章</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r>
              <w:rPr>
                <w:rFonts w:ascii="Times New Roman" w:hAnsi="Times New Roman"/>
                <w:highlight w:val="none"/>
              </w:rPr>
              <w:t>符合</w:t>
            </w:r>
            <w:r>
              <w:rPr>
                <w:rFonts w:hint="eastAsia" w:ascii="Times New Roman" w:hAnsi="Times New Roman"/>
                <w:highlight w:val="none"/>
              </w:rPr>
              <w:t>第二章第3.7.2项的规定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vMerge w:val="continue"/>
            <w:tcBorders>
              <w:right w:val="single" w:color="auto" w:sz="4" w:space="0"/>
            </w:tcBorders>
            <w:vAlign w:val="center"/>
          </w:tcPr>
          <w:p>
            <w:pPr>
              <w:adjustRightInd w:val="0"/>
              <w:snapToGrid w:val="0"/>
              <w:rPr>
                <w:rFonts w:ascii="Times New Roman" w:hAnsi="Times New Roman"/>
                <w:highlight w:val="none"/>
              </w:rPr>
            </w:pPr>
          </w:p>
        </w:tc>
        <w:tc>
          <w:tcPr>
            <w:tcW w:w="1085" w:type="dxa"/>
            <w:vMerge w:val="continue"/>
            <w:tcBorders>
              <w:right w:val="single" w:color="auto" w:sz="4" w:space="0"/>
            </w:tcBorders>
            <w:vAlign w:val="center"/>
          </w:tcPr>
          <w:p>
            <w:pPr>
              <w:adjustRightInd w:val="0"/>
              <w:snapToGrid w:val="0"/>
              <w:rPr>
                <w:rFonts w:ascii="Times New Roman" w:hAnsi="Times New Roman"/>
                <w:highlight w:val="none"/>
              </w:rPr>
            </w:pP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hint="eastAsia"/>
                <w:highlight w:val="none"/>
              </w:rPr>
              <w:t>联合体协议书</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r>
              <w:rPr>
                <w:rFonts w:hint="eastAsia" w:ascii="Times New Roman" w:hAnsi="Times New Roman"/>
                <w:highlight w:val="none"/>
              </w:rPr>
              <w:t>递交联合体协议书，并明确联合体牵头人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vMerge w:val="continue"/>
            <w:tcBorders>
              <w:right w:val="single" w:color="auto" w:sz="4" w:space="0"/>
            </w:tcBorders>
            <w:vAlign w:val="top"/>
          </w:tcPr>
          <w:p>
            <w:pPr>
              <w:adjustRightInd w:val="0"/>
              <w:snapToGrid w:val="0"/>
              <w:rPr>
                <w:rFonts w:ascii="Times New Roman" w:hAnsi="Times New Roman"/>
                <w:highlight w:val="none"/>
              </w:rPr>
            </w:pPr>
          </w:p>
        </w:tc>
        <w:tc>
          <w:tcPr>
            <w:tcW w:w="1085" w:type="dxa"/>
            <w:vMerge w:val="continue"/>
            <w:tcBorders>
              <w:right w:val="single" w:color="auto" w:sz="4" w:space="0"/>
            </w:tcBorders>
            <w:vAlign w:val="top"/>
          </w:tcPr>
          <w:p>
            <w:pPr>
              <w:adjustRightInd w:val="0"/>
              <w:snapToGrid w:val="0"/>
              <w:rPr>
                <w:rFonts w:ascii="Times New Roman" w:hAnsi="Times New Roman"/>
                <w:highlight w:val="none"/>
              </w:rPr>
            </w:pP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hint="eastAsia" w:ascii="Times New Roman" w:hAnsi="Times New Roman"/>
                <w:highlight w:val="none"/>
              </w:rPr>
              <w:t>响应函中实质性内容</w:t>
            </w:r>
          </w:p>
        </w:tc>
        <w:tc>
          <w:tcPr>
            <w:tcW w:w="4536" w:type="dxa"/>
            <w:tcBorders>
              <w:left w:val="single" w:color="auto" w:sz="4" w:space="0"/>
              <w:bottom w:val="single" w:color="auto" w:sz="4" w:space="0"/>
            </w:tcBorders>
            <w:vAlign w:val="center"/>
          </w:tcPr>
          <w:p>
            <w:pPr>
              <w:adjustRightInd w:val="0"/>
              <w:snapToGrid w:val="0"/>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vMerge w:val="restart"/>
            <w:tcBorders>
              <w:top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ascii="Times New Roman" w:hAnsi="Times New Roman"/>
                <w:highlight w:val="none"/>
              </w:rPr>
              <w:t>2.1.2</w:t>
            </w:r>
          </w:p>
        </w:tc>
        <w:tc>
          <w:tcPr>
            <w:tcW w:w="1085"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ascii="Times New Roman" w:hAnsi="Times New Roman"/>
                <w:highlight w:val="none"/>
              </w:rPr>
              <w:t>资格评审标准</w:t>
            </w: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hint="eastAsia"/>
                <w:highlight w:val="none"/>
              </w:rPr>
              <w:t>依法设立</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r>
              <w:rPr>
                <w:rFonts w:ascii="Times New Roman" w:hAnsi="Times New Roman"/>
                <w:highlight w:val="none"/>
              </w:rPr>
              <w:t>符合</w:t>
            </w:r>
            <w:r>
              <w:rPr>
                <w:rFonts w:hint="eastAsia" w:ascii="Times New Roman" w:hAnsi="Times New Roman"/>
                <w:highlight w:val="none"/>
              </w:rPr>
              <w:t>第一章第3.1款及供应商须知前附表</w:t>
            </w:r>
            <w:r>
              <w:rPr>
                <w:rFonts w:ascii="Times New Roman" w:hAnsi="Times New Roman"/>
                <w:highlight w:val="none"/>
              </w:rPr>
              <w:t>第3.5</w:t>
            </w:r>
            <w:r>
              <w:rPr>
                <w:rFonts w:hint="eastAsia" w:ascii="Times New Roman" w:hAnsi="Times New Roman"/>
                <w:highlight w:val="none"/>
              </w:rPr>
              <w:t>（1）款</w:t>
            </w:r>
            <w:r>
              <w:rPr>
                <w:rFonts w:ascii="Times New Roman" w:hAnsi="Times New Roman"/>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vMerge w:val="continue"/>
            <w:tcBorders>
              <w:bottom w:val="single" w:color="auto" w:sz="4" w:space="0"/>
              <w:right w:val="single" w:color="auto" w:sz="4" w:space="0"/>
            </w:tcBorders>
            <w:vAlign w:val="center"/>
          </w:tcPr>
          <w:p>
            <w:pPr>
              <w:adjustRightInd w:val="0"/>
              <w:snapToGrid w:val="0"/>
              <w:rPr>
                <w:rFonts w:ascii="Times New Roman" w:hAnsi="Times New Roman"/>
                <w:highlight w:val="none"/>
              </w:rPr>
            </w:pPr>
          </w:p>
        </w:tc>
        <w:tc>
          <w:tcPr>
            <w:tcW w:w="1085" w:type="dxa"/>
            <w:vMerge w:val="continue"/>
            <w:tcBorders>
              <w:left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ascii="Times New Roman" w:hAnsi="Times New Roman"/>
                <w:highlight w:val="none"/>
              </w:rPr>
              <w:t>资质要求</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r>
              <w:rPr>
                <w:rFonts w:ascii="Times New Roman" w:hAnsi="Times New Roman"/>
                <w:highlight w:val="none"/>
              </w:rPr>
              <w:t>符合</w:t>
            </w:r>
            <w:r>
              <w:rPr>
                <w:rFonts w:hint="eastAsia" w:ascii="Times New Roman" w:hAnsi="Times New Roman"/>
                <w:highlight w:val="none"/>
              </w:rPr>
              <w:t>第一章第3.1款及供应商须知前附表第3.5（2）款</w:t>
            </w:r>
            <w:r>
              <w:rPr>
                <w:rFonts w:ascii="Times New Roman" w:hAnsi="Times New Roman"/>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vMerge w:val="continue"/>
            <w:tcBorders>
              <w:top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ascii="Times New Roman" w:hAnsi="Times New Roman"/>
                <w:highlight w:val="none"/>
              </w:rPr>
              <w:t>财务要求</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r>
              <w:rPr>
                <w:rFonts w:ascii="Times New Roman" w:hAnsi="Times New Roman"/>
                <w:highlight w:val="none"/>
              </w:rPr>
              <w:t>符合</w:t>
            </w:r>
            <w:r>
              <w:rPr>
                <w:rFonts w:hint="eastAsia" w:ascii="Times New Roman" w:hAnsi="Times New Roman"/>
                <w:highlight w:val="none"/>
              </w:rPr>
              <w:t>第一章第3.1款及供应商须知前附表第3.5（3）款</w:t>
            </w:r>
            <w:r>
              <w:rPr>
                <w:rFonts w:ascii="Times New Roman" w:hAnsi="Times New Roman"/>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vMerge w:val="continue"/>
            <w:tcBorders>
              <w:top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ascii="Times New Roman" w:hAnsi="Times New Roman"/>
                <w:highlight w:val="none"/>
              </w:rPr>
              <w:t>业绩要求</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r>
              <w:rPr>
                <w:rFonts w:ascii="Times New Roman" w:hAnsi="Times New Roman"/>
                <w:highlight w:val="none"/>
              </w:rPr>
              <w:t>符合</w:t>
            </w:r>
            <w:r>
              <w:rPr>
                <w:rFonts w:hint="eastAsia" w:ascii="Times New Roman" w:hAnsi="Times New Roman"/>
                <w:highlight w:val="none"/>
              </w:rPr>
              <w:t>第一章第3.1款及供应商须知前附表第3.5（4）款</w:t>
            </w:r>
            <w:r>
              <w:rPr>
                <w:rFonts w:ascii="Times New Roman" w:hAnsi="Times New Roman"/>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vMerge w:val="continue"/>
            <w:tcBorders>
              <w:top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ascii="Times New Roman" w:hAnsi="Times New Roman"/>
                <w:highlight w:val="none"/>
              </w:rPr>
              <w:t>信誉要求</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r>
              <w:rPr>
                <w:rFonts w:ascii="Times New Roman" w:hAnsi="Times New Roman"/>
                <w:highlight w:val="none"/>
              </w:rPr>
              <w:t>符合</w:t>
            </w:r>
            <w:r>
              <w:rPr>
                <w:rFonts w:hint="eastAsia" w:ascii="Times New Roman" w:hAnsi="Times New Roman"/>
                <w:highlight w:val="none"/>
              </w:rPr>
              <w:t>第一章第3.1款及供应商须知前附表第3.5（5）款</w:t>
            </w:r>
            <w:r>
              <w:rPr>
                <w:rFonts w:ascii="Times New Roman" w:hAnsi="Times New Roman"/>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vMerge w:val="continue"/>
            <w:tcBorders>
              <w:top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hint="eastAsia" w:ascii="Times New Roman" w:hAnsi="Times New Roman"/>
                <w:highlight w:val="none"/>
              </w:rPr>
              <w:t>人员要求</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r>
              <w:rPr>
                <w:rFonts w:ascii="Times New Roman" w:hAnsi="Times New Roman"/>
                <w:highlight w:val="none"/>
              </w:rPr>
              <w:t>符合</w:t>
            </w:r>
            <w:r>
              <w:rPr>
                <w:rFonts w:hint="eastAsia" w:ascii="Times New Roman" w:hAnsi="Times New Roman"/>
                <w:highlight w:val="none"/>
              </w:rPr>
              <w:t>第一章第3.1款及供应商须知前附表第3.5（6）款</w:t>
            </w:r>
            <w:r>
              <w:rPr>
                <w:rFonts w:ascii="Times New Roman" w:hAnsi="Times New Roman"/>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vMerge w:val="continue"/>
            <w:tcBorders>
              <w:top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ascii="Times New Roman" w:hAnsi="Times New Roman"/>
                <w:highlight w:val="none"/>
              </w:rPr>
              <w:t>其他要求</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r>
              <w:rPr>
                <w:rFonts w:ascii="Times New Roman" w:hAnsi="Times New Roman"/>
                <w:highlight w:val="none"/>
              </w:rPr>
              <w:t>符合</w:t>
            </w:r>
            <w:r>
              <w:rPr>
                <w:rFonts w:hint="eastAsia" w:ascii="Times New Roman" w:hAnsi="Times New Roman"/>
                <w:highlight w:val="none"/>
              </w:rPr>
              <w:t>第一章第3.1款供应商须知前附表第3.5（7）款</w:t>
            </w:r>
            <w:r>
              <w:rPr>
                <w:rFonts w:ascii="Times New Roman" w:hAnsi="Times New Roman"/>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vMerge w:val="continue"/>
            <w:tcBorders>
              <w:top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ascii="Times New Roman" w:hAnsi="Times New Roman"/>
                <w:highlight w:val="none"/>
              </w:rPr>
              <w:t>不存在</w:t>
            </w:r>
            <w:r>
              <w:rPr>
                <w:rFonts w:hint="eastAsia" w:ascii="Times New Roman" w:hAnsi="Times New Roman"/>
                <w:highlight w:val="none"/>
              </w:rPr>
              <w:t>第一章第</w:t>
            </w:r>
            <w:r>
              <w:rPr>
                <w:rFonts w:hint="eastAsia" w:ascii="Times New Roman" w:hAnsi="Times New Roman"/>
                <w:color w:val="000000"/>
                <w:szCs w:val="21"/>
                <w:highlight w:val="none"/>
              </w:rPr>
              <w:t>3.2款</w:t>
            </w:r>
            <w:r>
              <w:rPr>
                <w:rFonts w:ascii="Times New Roman" w:hAnsi="Times New Roman"/>
                <w:highlight w:val="none"/>
              </w:rPr>
              <w:t>情形</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r>
              <w:rPr>
                <w:rFonts w:ascii="Times New Roman" w:hAnsi="Times New Roman"/>
                <w:highlight w:val="none"/>
              </w:rPr>
              <w:t>符合</w:t>
            </w:r>
            <w:r>
              <w:rPr>
                <w:rFonts w:hint="eastAsia" w:ascii="Times New Roman" w:hAnsi="Times New Roman"/>
                <w:highlight w:val="none"/>
              </w:rPr>
              <w:t>第一章第3.2款及供应商须知前附表第3.5（8）款</w:t>
            </w:r>
            <w:r>
              <w:rPr>
                <w:rFonts w:ascii="Times New Roman" w:hAnsi="Times New Roman"/>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vMerge w:val="continue"/>
            <w:tcBorders>
              <w:top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ascii="Times New Roman" w:hAnsi="Times New Roman"/>
                <w:highlight w:val="none"/>
              </w:rPr>
              <w:t>联合体</w:t>
            </w:r>
            <w:r>
              <w:rPr>
                <w:rFonts w:hint="eastAsia" w:ascii="Times New Roman" w:hAnsi="Times New Roman"/>
                <w:highlight w:val="none"/>
              </w:rPr>
              <w:t>供应商</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r>
              <w:rPr>
                <w:rFonts w:ascii="Times New Roman" w:hAnsi="Times New Roman"/>
                <w:highlight w:val="none"/>
              </w:rPr>
              <w:t>符合</w:t>
            </w:r>
            <w:r>
              <w:rPr>
                <w:rFonts w:hint="eastAsia" w:ascii="Times New Roman" w:hAnsi="Times New Roman"/>
                <w:highlight w:val="none"/>
              </w:rPr>
              <w:t>第一章第3.3 款及供应商须知前附表第3.5（9）款</w:t>
            </w:r>
            <w:r>
              <w:rPr>
                <w:rFonts w:ascii="Times New Roman" w:hAnsi="Times New Roman"/>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vMerge w:val="restart"/>
            <w:tcBorders>
              <w:top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ascii="Times New Roman" w:hAnsi="Times New Roman"/>
                <w:highlight w:val="none"/>
              </w:rPr>
              <w:t>2.1.3</w:t>
            </w:r>
          </w:p>
        </w:tc>
        <w:tc>
          <w:tcPr>
            <w:tcW w:w="1085"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ascii="Times New Roman" w:hAnsi="Times New Roman"/>
                <w:highlight w:val="none"/>
              </w:rPr>
              <w:t>响应性评审标准</w:t>
            </w: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hint="eastAsia" w:ascii="Times New Roman" w:hAnsi="Times New Roman"/>
                <w:highlight w:val="none"/>
              </w:rPr>
              <w:t>报价</w:t>
            </w:r>
          </w:p>
        </w:tc>
        <w:tc>
          <w:tcPr>
            <w:tcW w:w="4536" w:type="dxa"/>
            <w:tcBorders>
              <w:top w:val="single" w:color="auto" w:sz="4" w:space="0"/>
              <w:left w:val="single" w:color="auto" w:sz="4" w:space="0"/>
              <w:bottom w:val="single" w:color="auto" w:sz="4" w:space="0"/>
            </w:tcBorders>
            <w:vAlign w:val="center"/>
          </w:tcPr>
          <w:p>
            <w:pPr>
              <w:adjustRightInd w:val="0"/>
              <w:snapToGrid w:val="0"/>
              <w:rPr>
                <w:rFonts w:ascii="Times New Roman" w:hAnsi="Times New Roman"/>
                <w:color w:val="548DD4"/>
                <w:highlight w:val="none"/>
              </w:rPr>
            </w:pPr>
            <w:r>
              <w:rPr>
                <w:rFonts w:ascii="Times New Roman" w:hAnsi="Times New Roman"/>
                <w:highlight w:val="none"/>
              </w:rPr>
              <w:t>符合第二章第3.2款规定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vMerge w:val="continue"/>
            <w:tcBorders>
              <w:bottom w:val="single" w:color="auto" w:sz="4" w:space="0"/>
              <w:right w:val="single" w:color="auto" w:sz="4" w:space="0"/>
            </w:tcBorders>
            <w:vAlign w:val="center"/>
          </w:tcPr>
          <w:p>
            <w:pPr>
              <w:adjustRightInd w:val="0"/>
              <w:snapToGrid w:val="0"/>
              <w:jc w:val="center"/>
              <w:rPr>
                <w:rFonts w:ascii="Times New Roman" w:hAnsi="Times New Roman"/>
                <w:highlight w:val="none"/>
              </w:rPr>
            </w:pPr>
          </w:p>
        </w:tc>
        <w:tc>
          <w:tcPr>
            <w:tcW w:w="1085"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hint="eastAsia" w:ascii="Times New Roman" w:hAnsi="Times New Roman"/>
                <w:highlight w:val="none"/>
              </w:rPr>
              <w:t>响应文件有效期</w:t>
            </w:r>
          </w:p>
        </w:tc>
        <w:tc>
          <w:tcPr>
            <w:tcW w:w="4536" w:type="dxa"/>
            <w:tcBorders>
              <w:top w:val="single" w:color="auto" w:sz="4" w:space="0"/>
              <w:left w:val="single" w:color="auto" w:sz="4" w:space="0"/>
              <w:bottom w:val="single" w:color="auto" w:sz="4" w:space="0"/>
            </w:tcBorders>
            <w:vAlign w:val="center"/>
          </w:tcPr>
          <w:p>
            <w:pPr>
              <w:adjustRightInd w:val="0"/>
              <w:snapToGrid w:val="0"/>
              <w:rPr>
                <w:rFonts w:ascii="Times New Roman" w:hAnsi="Times New Roman"/>
                <w:highlight w:val="none"/>
              </w:rPr>
            </w:pPr>
            <w:r>
              <w:rPr>
                <w:rFonts w:ascii="Times New Roman" w:hAnsi="Times New Roman"/>
                <w:highlight w:val="none"/>
              </w:rPr>
              <w:t>符合第二章第3.3.1项规定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hint="eastAsia" w:ascii="Times New Roman" w:hAnsi="Times New Roman"/>
                <w:highlight w:val="none"/>
              </w:rPr>
              <w:t>响应保证金</w:t>
            </w:r>
          </w:p>
        </w:tc>
        <w:tc>
          <w:tcPr>
            <w:tcW w:w="4536" w:type="dxa"/>
            <w:tcBorders>
              <w:top w:val="single" w:color="auto" w:sz="4" w:space="0"/>
              <w:left w:val="single" w:color="auto" w:sz="4" w:space="0"/>
              <w:bottom w:val="single" w:color="auto" w:sz="4" w:space="0"/>
            </w:tcBorders>
            <w:vAlign w:val="center"/>
          </w:tcPr>
          <w:p>
            <w:pPr>
              <w:adjustRightInd w:val="0"/>
              <w:snapToGrid w:val="0"/>
              <w:rPr>
                <w:rFonts w:ascii="Times New Roman" w:hAnsi="Times New Roman"/>
                <w:highlight w:val="none"/>
              </w:rPr>
            </w:pPr>
            <w:r>
              <w:rPr>
                <w:rFonts w:ascii="Times New Roman" w:hAnsi="Times New Roman"/>
                <w:highlight w:val="none"/>
              </w:rPr>
              <w:t>符合第二章第3.4</w:t>
            </w:r>
            <w:r>
              <w:rPr>
                <w:rFonts w:hint="eastAsia" w:ascii="Times New Roman" w:hAnsi="Times New Roman"/>
                <w:highlight w:val="none"/>
              </w:rPr>
              <w:t>.1项</w:t>
            </w:r>
            <w:r>
              <w:rPr>
                <w:rFonts w:ascii="Times New Roman" w:hAnsi="Times New Roman"/>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hint="eastAsia" w:ascii="Times New Roman" w:hAnsi="Times New Roman"/>
                <w:highlight w:val="none"/>
              </w:rPr>
              <w:t>响应方案</w:t>
            </w:r>
          </w:p>
        </w:tc>
        <w:tc>
          <w:tcPr>
            <w:tcW w:w="4536" w:type="dxa"/>
            <w:tcBorders>
              <w:top w:val="single" w:color="auto" w:sz="4" w:space="0"/>
              <w:left w:val="single" w:color="auto" w:sz="4" w:space="0"/>
              <w:bottom w:val="single" w:color="auto" w:sz="4" w:space="0"/>
            </w:tcBorders>
            <w:vAlign w:val="center"/>
          </w:tcPr>
          <w:p>
            <w:pPr>
              <w:adjustRightInd w:val="0"/>
              <w:snapToGrid w:val="0"/>
              <w:rPr>
                <w:rFonts w:ascii="Times New Roman" w:hAnsi="Times New Roman"/>
                <w:highlight w:val="none"/>
              </w:rPr>
            </w:pPr>
            <w:r>
              <w:rPr>
                <w:rFonts w:hint="eastAsia" w:ascii="Times New Roman" w:hAnsi="Times New Roman"/>
                <w:highlight w:val="none"/>
              </w:rPr>
              <w:t>符合第二章第3.6款规定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vMerge w:val="continue"/>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hint="eastAsia" w:ascii="Times New Roman" w:hAnsi="Times New Roman"/>
                <w:highlight w:val="none"/>
              </w:rPr>
              <w:t>质量标准</w:t>
            </w:r>
          </w:p>
        </w:tc>
        <w:tc>
          <w:tcPr>
            <w:tcW w:w="4536" w:type="dxa"/>
            <w:tcBorders>
              <w:top w:val="single" w:color="auto" w:sz="4" w:space="0"/>
              <w:left w:val="single" w:color="auto" w:sz="4" w:space="0"/>
              <w:bottom w:val="single" w:color="auto" w:sz="4" w:space="0"/>
            </w:tcBorders>
            <w:vAlign w:val="center"/>
          </w:tcPr>
          <w:p>
            <w:pPr>
              <w:adjustRightInd w:val="0"/>
              <w:snapToGrid w:val="0"/>
              <w:rPr>
                <w:rFonts w:ascii="Times New Roman" w:hAnsi="Times New Roman"/>
                <w:highlight w:val="none"/>
              </w:rPr>
            </w:pPr>
            <w:r>
              <w:rPr>
                <w:rFonts w:hint="eastAsia" w:ascii="Times New Roman" w:hAnsi="Times New Roman"/>
                <w:highlight w:val="none"/>
              </w:rPr>
              <w:t>符合第一章第2条规定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vMerge w:val="continue"/>
            <w:tcBorders>
              <w:top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宋体"/>
                <w:highlight w:val="none"/>
                <w:lang w:eastAsia="zh-CN"/>
              </w:rPr>
            </w:pPr>
            <w:r>
              <w:rPr>
                <w:rFonts w:hint="eastAsia" w:ascii="Times New Roman" w:hAnsi="Times New Roman"/>
                <w:highlight w:val="none"/>
                <w:lang w:val="en-US" w:eastAsia="zh-CN"/>
              </w:rPr>
              <w:t>交货期</w:t>
            </w:r>
          </w:p>
        </w:tc>
        <w:tc>
          <w:tcPr>
            <w:tcW w:w="4536" w:type="dxa"/>
            <w:tcBorders>
              <w:top w:val="single" w:color="auto" w:sz="4" w:space="0"/>
              <w:left w:val="single" w:color="auto" w:sz="4" w:space="0"/>
              <w:bottom w:val="single" w:color="auto" w:sz="4" w:space="0"/>
            </w:tcBorders>
            <w:vAlign w:val="center"/>
          </w:tcPr>
          <w:p>
            <w:pPr>
              <w:adjustRightInd w:val="0"/>
              <w:snapToGrid w:val="0"/>
              <w:rPr>
                <w:rFonts w:ascii="Times New Roman" w:hAnsi="Times New Roman"/>
                <w:highlight w:val="none"/>
              </w:rPr>
            </w:pPr>
            <w:r>
              <w:rPr>
                <w:rFonts w:hint="eastAsia" w:ascii="Times New Roman" w:hAnsi="Times New Roman"/>
                <w:highlight w:val="none"/>
              </w:rPr>
              <w:t>符合第一章第2条规定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vMerge w:val="continue"/>
            <w:tcBorders>
              <w:top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hint="eastAsia" w:ascii="Times New Roman" w:hAnsi="Times New Roman"/>
                <w:highlight w:val="none"/>
              </w:rPr>
              <w:t>合同条款</w:t>
            </w:r>
          </w:p>
        </w:tc>
        <w:tc>
          <w:tcPr>
            <w:tcW w:w="4536" w:type="dxa"/>
            <w:tcBorders>
              <w:top w:val="single" w:color="auto" w:sz="4" w:space="0"/>
              <w:left w:val="single" w:color="auto" w:sz="4" w:space="0"/>
              <w:bottom w:val="single" w:color="auto" w:sz="4" w:space="0"/>
            </w:tcBorders>
            <w:vAlign w:val="center"/>
          </w:tcPr>
          <w:p>
            <w:pPr>
              <w:adjustRightInd w:val="0"/>
              <w:snapToGrid w:val="0"/>
              <w:rPr>
                <w:rFonts w:ascii="Times New Roman" w:hAnsi="Times New Roman"/>
                <w:highlight w:val="none"/>
              </w:rPr>
            </w:pPr>
            <w:r>
              <w:rPr>
                <w:rFonts w:hint="eastAsia" w:ascii="Times New Roman" w:hAnsi="Times New Roman"/>
                <w:highlight w:val="none"/>
              </w:rPr>
              <w:t>符合第二章第1.10.1项规定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vMerge w:val="continue"/>
            <w:tcBorders>
              <w:top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highlight w:val="none"/>
              </w:rPr>
            </w:pP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hint="eastAsia" w:ascii="Times New Roman" w:hAnsi="Times New Roman"/>
                <w:color w:val="000000"/>
                <w:highlight w:val="none"/>
              </w:rPr>
              <w:t>对非关键条款的</w:t>
            </w:r>
            <w:r>
              <w:rPr>
                <w:rFonts w:ascii="Times New Roman" w:hAnsi="Times New Roman"/>
                <w:color w:val="000000"/>
                <w:highlight w:val="none"/>
              </w:rPr>
              <w:t>偏差</w:t>
            </w:r>
          </w:p>
        </w:tc>
        <w:tc>
          <w:tcPr>
            <w:tcW w:w="4536" w:type="dxa"/>
            <w:tcBorders>
              <w:top w:val="single" w:color="auto" w:sz="4" w:space="0"/>
              <w:left w:val="single" w:color="auto" w:sz="4" w:space="0"/>
              <w:bottom w:val="single" w:color="auto" w:sz="4" w:space="0"/>
            </w:tcBorders>
            <w:vAlign w:val="center"/>
          </w:tcPr>
          <w:p>
            <w:pPr>
              <w:adjustRightInd w:val="0"/>
              <w:snapToGrid w:val="0"/>
              <w:rPr>
                <w:rFonts w:ascii="Times New Roman" w:hAnsi="Times New Roman"/>
                <w:highlight w:val="none"/>
              </w:rPr>
            </w:pPr>
            <w:r>
              <w:rPr>
                <w:rFonts w:ascii="Times New Roman" w:hAnsi="Times New Roman"/>
                <w:color w:val="000000"/>
                <w:highlight w:val="none"/>
              </w:rPr>
              <w:t>偏差范围和</w:t>
            </w:r>
            <w:r>
              <w:rPr>
                <w:rFonts w:hint="eastAsia" w:ascii="Times New Roman" w:hAnsi="Times New Roman"/>
                <w:color w:val="000000"/>
                <w:highlight w:val="none"/>
              </w:rPr>
              <w:t>偏差</w:t>
            </w:r>
            <w:r>
              <w:rPr>
                <w:rFonts w:ascii="Times New Roman" w:hAnsi="Times New Roman"/>
                <w:color w:val="000000"/>
                <w:highlight w:val="none"/>
              </w:rPr>
              <w:t>项数符合</w:t>
            </w:r>
            <w:r>
              <w:rPr>
                <w:rFonts w:hint="eastAsia" w:ascii="Times New Roman" w:hAnsi="Times New Roman"/>
                <w:color w:val="000000"/>
                <w:highlight w:val="none"/>
              </w:rPr>
              <w:t>第二章第1.10.2项的</w:t>
            </w:r>
            <w:r>
              <w:rPr>
                <w:rFonts w:ascii="Times New Roman" w:hAnsi="Times New Roman"/>
                <w:color w:val="000000"/>
                <w:highlight w:val="none"/>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794" w:type="dxa"/>
            <w:gridSpan w:val="2"/>
            <w:tcBorders>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hint="eastAsia" w:ascii="Times New Roman" w:hAnsi="Times New Roman"/>
                <w:highlight w:val="none"/>
              </w:rPr>
              <w:t>2.2.2</w:t>
            </w: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hint="eastAsia" w:ascii="Times New Roman" w:hAnsi="Times New Roman"/>
                <w:color w:val="000000"/>
                <w:highlight w:val="none"/>
              </w:rPr>
              <w:t>评审价格</w:t>
            </w:r>
          </w:p>
        </w:tc>
        <w:tc>
          <w:tcPr>
            <w:tcW w:w="4536" w:type="dxa"/>
            <w:tcBorders>
              <w:top w:val="single" w:color="auto" w:sz="4" w:space="0"/>
              <w:left w:val="single" w:color="auto" w:sz="4" w:space="0"/>
            </w:tcBorders>
            <w:vAlign w:val="center"/>
          </w:tcPr>
          <w:p>
            <w:pPr>
              <w:adjustRightInd w:val="0"/>
              <w:snapToGrid w:val="0"/>
              <w:rPr>
                <w:rFonts w:hint="eastAsia" w:ascii="Times New Roman" w:hAnsi="Times New Roman" w:eastAsia="宋体" w:cs="Times New Roman"/>
                <w:color w:val="000000"/>
                <w:highlight w:val="none"/>
                <w:lang w:val="en-US" w:eastAsia="zh-CN"/>
              </w:rPr>
            </w:pPr>
            <w:r>
              <w:rPr>
                <w:rFonts w:hint="eastAsia" w:ascii="华文宋体" w:hAnsi="华文宋体" w:eastAsia="华文宋体"/>
                <w:highlight w:val="none"/>
              </w:rPr>
              <w:sym w:font="Wingdings 2" w:char="0052"/>
            </w:r>
            <w:r>
              <w:rPr>
                <w:rFonts w:hint="eastAsia" w:ascii="Times New Roman" w:hAnsi="Times New Roman" w:eastAsia="宋体" w:cs="Times New Roman"/>
                <w:color w:val="000000"/>
                <w:highlight w:val="none"/>
                <w:lang w:val="en-US" w:eastAsia="zh-CN"/>
              </w:rPr>
              <w:t>含税价</w:t>
            </w:r>
          </w:p>
          <w:p>
            <w:pPr>
              <w:adjustRightInd w:val="0"/>
              <w:snapToGrid w:val="0"/>
              <w:rPr>
                <w:rFonts w:ascii="Times New Roman"/>
                <w:sz w:val="32"/>
                <w:szCs w:val="32"/>
                <w:highlight w:val="none"/>
              </w:rPr>
            </w:pPr>
            <w:r>
              <w:rPr>
                <w:rFonts w:hint="eastAsia" w:ascii="华文宋体" w:hAnsi="华文宋体" w:eastAsia="华文宋体"/>
                <w:highlight w:val="none"/>
              </w:rPr>
              <w:sym w:font="Wingdings 2" w:char="00A3"/>
            </w:r>
            <w:r>
              <w:rPr>
                <w:rFonts w:hint="eastAsia" w:ascii="Times New Roman" w:hAnsi="Times New Roman" w:eastAsia="宋体" w:cs="Times New Roman"/>
                <w:color w:val="000000"/>
                <w:highlight w:val="none"/>
                <w:lang w:val="en-US" w:eastAsia="zh-CN"/>
              </w:rPr>
              <w:t>不含税价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794" w:type="dxa"/>
            <w:gridSpan w:val="2"/>
            <w:tcBorders>
              <w:top w:val="single" w:color="auto" w:sz="4" w:space="0"/>
              <w:right w:val="single" w:color="auto" w:sz="4" w:space="0"/>
            </w:tcBorders>
            <w:vAlign w:val="center"/>
          </w:tcPr>
          <w:p>
            <w:pPr>
              <w:adjustRightInd w:val="0"/>
              <w:snapToGrid w:val="0"/>
              <w:jc w:val="center"/>
              <w:rPr>
                <w:rFonts w:ascii="Times New Roman" w:hAnsi="Times New Roman"/>
                <w:b/>
                <w:highlight w:val="none"/>
              </w:rPr>
            </w:pPr>
            <w:r>
              <w:rPr>
                <w:rFonts w:ascii="Times New Roman" w:hAnsi="Times New Roman"/>
                <w:b/>
                <w:highlight w:val="none"/>
              </w:rPr>
              <w:t>条款号</w:t>
            </w:r>
          </w:p>
        </w:tc>
        <w:tc>
          <w:tcPr>
            <w:tcW w:w="2317"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b/>
                <w:highlight w:val="none"/>
              </w:rPr>
            </w:pPr>
            <w:r>
              <w:rPr>
                <w:rFonts w:ascii="Times New Roman" w:hAnsi="Times New Roman"/>
                <w:b/>
                <w:highlight w:val="none"/>
              </w:rPr>
              <w:t>条款内容</w:t>
            </w:r>
          </w:p>
        </w:tc>
        <w:tc>
          <w:tcPr>
            <w:tcW w:w="4536" w:type="dxa"/>
            <w:tcBorders>
              <w:top w:val="single" w:color="auto" w:sz="4" w:space="0"/>
              <w:left w:val="single" w:color="auto" w:sz="4" w:space="0"/>
            </w:tcBorders>
            <w:vAlign w:val="center"/>
          </w:tcPr>
          <w:p>
            <w:pPr>
              <w:adjustRightInd w:val="0"/>
              <w:snapToGrid w:val="0"/>
              <w:jc w:val="center"/>
              <w:rPr>
                <w:rFonts w:ascii="Times New Roman" w:hAnsi="Times New Roman"/>
                <w:b/>
                <w:highlight w:val="none"/>
              </w:rPr>
            </w:pPr>
            <w:r>
              <w:rPr>
                <w:rFonts w:ascii="Times New Roman" w:hAnsi="Times New Roman"/>
                <w:b/>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647" w:type="dxa"/>
            <w:gridSpan w:val="4"/>
            <w:tcBorders>
              <w:top w:val="single" w:color="auto" w:sz="4" w:space="0"/>
              <w:bottom w:val="single" w:color="auto" w:sz="4" w:space="0"/>
              <w:right w:val="single" w:color="auto" w:sz="4" w:space="0"/>
            </w:tcBorders>
            <w:vAlign w:val="center"/>
          </w:tcPr>
          <w:p>
            <w:pPr>
              <w:adjustRightInd w:val="0"/>
              <w:snapToGrid w:val="0"/>
              <w:jc w:val="center"/>
              <w:rPr>
                <w:rFonts w:ascii="华文宋体" w:hAnsi="华文宋体" w:eastAsia="华文宋体"/>
                <w:highlight w:val="none"/>
              </w:rPr>
            </w:pPr>
            <w:r>
              <w:rPr>
                <w:rFonts w:hint="eastAsia" w:ascii="Times New Roman" w:hAnsi="Times New Roman"/>
                <w:b/>
                <w:highlight w:val="none"/>
              </w:rPr>
              <w:t>3.</w:t>
            </w:r>
            <w:r>
              <w:rPr>
                <w:rFonts w:hint="eastAsia"/>
                <w:highlight w:val="none"/>
              </w:rPr>
              <w:t xml:space="preserve"> </w:t>
            </w:r>
            <w:r>
              <w:rPr>
                <w:rFonts w:hint="eastAsia" w:ascii="Times New Roman" w:hAnsi="Times New Roman"/>
                <w:b/>
                <w:highlight w:val="none"/>
              </w:rPr>
              <w:t>详细评审标准和程序（综合评分法）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794" w:type="dxa"/>
            <w:gridSpan w:val="2"/>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highlight w:val="none"/>
              </w:rPr>
            </w:pPr>
            <w:r>
              <w:rPr>
                <w:rFonts w:ascii="Times New Roman" w:hAnsi="Times New Roman"/>
                <w:b/>
                <w:highlight w:val="none"/>
              </w:rPr>
              <w:t>条款号</w:t>
            </w: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highlight w:val="none"/>
              </w:rPr>
            </w:pPr>
            <w:r>
              <w:rPr>
                <w:rFonts w:ascii="Times New Roman" w:hAnsi="Times New Roman"/>
                <w:b/>
                <w:highlight w:val="none"/>
              </w:rPr>
              <w:t>条款内容</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highlight w:val="none"/>
              </w:rPr>
            </w:pPr>
            <w:r>
              <w:rPr>
                <w:rFonts w:ascii="Times New Roman" w:hAnsi="Times New Roman"/>
                <w:b/>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794" w:type="dxa"/>
            <w:gridSpan w:val="2"/>
            <w:tcBorders>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 1</w:t>
            </w: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ascii="Times New Roman" w:hAnsi="Times New Roman"/>
                <w:highlight w:val="none"/>
              </w:rPr>
              <w:t>分值构成</w:t>
            </w:r>
          </w:p>
          <w:p>
            <w:pPr>
              <w:adjustRightInd w:val="0"/>
              <w:snapToGrid w:val="0"/>
              <w:jc w:val="center"/>
              <w:rPr>
                <w:rFonts w:ascii="Times New Roman" w:hAnsi="Times New Roman"/>
                <w:highlight w:val="none"/>
              </w:rPr>
            </w:pPr>
            <w:r>
              <w:rPr>
                <w:rFonts w:ascii="Times New Roman" w:hAnsi="Times New Roman"/>
                <w:highlight w:val="none"/>
              </w:rPr>
              <w:t>(总分100分)</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highlight w:val="none"/>
              </w:rPr>
            </w:pPr>
            <w:r>
              <w:rPr>
                <w:rFonts w:hint="eastAsia" w:ascii="宋体" w:hAnsi="宋体" w:eastAsia="宋体"/>
                <w:highlight w:val="none"/>
              </w:rPr>
              <w:t>（1）</w:t>
            </w:r>
            <w:r>
              <w:rPr>
                <w:rFonts w:ascii="宋体" w:hAnsi="宋体" w:eastAsia="宋体"/>
                <w:highlight w:val="none"/>
              </w:rPr>
              <w:t>商务部分：</w:t>
            </w:r>
            <w:r>
              <w:rPr>
                <w:rFonts w:hint="eastAsia" w:ascii="宋体" w:hAnsi="宋体" w:eastAsia="宋体"/>
                <w:highlight w:val="none"/>
                <w:u w:val="single"/>
                <w:lang w:val="en-US" w:eastAsia="zh-CN"/>
              </w:rPr>
              <w:t>10</w:t>
            </w:r>
            <w:r>
              <w:rPr>
                <w:rFonts w:ascii="宋体" w:hAnsi="宋体" w:eastAsia="宋体"/>
                <w:highlight w:val="none"/>
              </w:rPr>
              <w:t>分</w:t>
            </w:r>
          </w:p>
          <w:p>
            <w:pPr>
              <w:adjustRightInd w:val="0"/>
              <w:snapToGrid w:val="0"/>
              <w:rPr>
                <w:rFonts w:ascii="宋体" w:hAnsi="宋体" w:eastAsia="宋体"/>
                <w:highlight w:val="none"/>
              </w:rPr>
            </w:pPr>
            <w:r>
              <w:rPr>
                <w:rFonts w:hint="eastAsia" w:ascii="宋体" w:hAnsi="宋体" w:eastAsia="宋体"/>
                <w:highlight w:val="none"/>
              </w:rPr>
              <w:t>（2）技术部分</w:t>
            </w:r>
            <w:r>
              <w:rPr>
                <w:rFonts w:ascii="宋体" w:hAnsi="宋体" w:eastAsia="宋体"/>
                <w:highlight w:val="none"/>
              </w:rPr>
              <w:t>：</w:t>
            </w:r>
            <w:r>
              <w:rPr>
                <w:rFonts w:hint="eastAsia" w:ascii="宋体" w:hAnsi="宋体" w:eastAsia="宋体"/>
                <w:highlight w:val="none"/>
                <w:u w:val="single"/>
                <w:lang w:val="en-US" w:eastAsia="zh-CN"/>
              </w:rPr>
              <w:t>60</w:t>
            </w:r>
            <w:r>
              <w:rPr>
                <w:rFonts w:ascii="宋体" w:hAnsi="宋体" w:eastAsia="宋体"/>
                <w:highlight w:val="none"/>
              </w:rPr>
              <w:t>分</w:t>
            </w:r>
          </w:p>
          <w:p>
            <w:pPr>
              <w:adjustRightInd w:val="0"/>
              <w:snapToGrid w:val="0"/>
              <w:rPr>
                <w:rFonts w:ascii="宋体" w:hAnsi="宋体" w:eastAsia="宋体"/>
                <w:highlight w:val="none"/>
              </w:rPr>
            </w:pPr>
            <w:r>
              <w:rPr>
                <w:rFonts w:hint="eastAsia" w:ascii="宋体" w:hAnsi="宋体" w:eastAsia="宋体"/>
                <w:highlight w:val="none"/>
              </w:rPr>
              <w:t>（3）报价</w:t>
            </w:r>
            <w:r>
              <w:rPr>
                <w:rFonts w:ascii="宋体" w:hAnsi="宋体" w:eastAsia="宋体"/>
                <w:highlight w:val="none"/>
              </w:rPr>
              <w:t>：</w:t>
            </w:r>
            <w:r>
              <w:rPr>
                <w:rFonts w:hint="eastAsia" w:ascii="宋体" w:hAnsi="宋体" w:eastAsia="宋体"/>
                <w:highlight w:val="none"/>
                <w:u w:val="single"/>
                <w:lang w:val="en-US" w:eastAsia="zh-CN"/>
              </w:rPr>
              <w:t>30</w:t>
            </w:r>
            <w:r>
              <w:rPr>
                <w:rFonts w:ascii="宋体" w:hAnsi="宋体" w:eastAsia="宋体"/>
                <w:highlight w:val="none"/>
              </w:rPr>
              <w:t>分</w:t>
            </w:r>
          </w:p>
          <w:p>
            <w:pPr>
              <w:adjustRightInd w:val="0"/>
              <w:snapToGrid w:val="0"/>
              <w:rPr>
                <w:rFonts w:ascii="宋体" w:hAnsi="宋体" w:eastAsia="宋体"/>
                <w:highlight w:val="none"/>
              </w:rPr>
            </w:pPr>
            <w:r>
              <w:rPr>
                <w:rFonts w:hint="eastAsia" w:ascii="宋体" w:hAnsi="宋体" w:eastAsia="宋体"/>
                <w:highlight w:val="none"/>
              </w:rPr>
              <w:t>（4）</w:t>
            </w:r>
            <w:r>
              <w:rPr>
                <w:rFonts w:ascii="宋体" w:hAnsi="宋体" w:eastAsia="宋体"/>
                <w:highlight w:val="none"/>
              </w:rPr>
              <w:t>其他评分因素：</w:t>
            </w:r>
            <w:r>
              <w:rPr>
                <w:rFonts w:ascii="宋体" w:hAnsi="宋体" w:eastAsia="宋体"/>
                <w:highlight w:val="none"/>
                <w:u w:val="single"/>
              </w:rPr>
              <w:t xml:space="preserve">       </w:t>
            </w:r>
            <w:r>
              <w:rPr>
                <w:rFonts w:ascii="宋体" w:hAnsi="宋体" w:eastAsia="宋体"/>
                <w:highlight w:val="none"/>
              </w:rPr>
              <w:t>分（如有）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794" w:type="dxa"/>
            <w:gridSpan w:val="2"/>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 2</w:t>
            </w:r>
            <w:r>
              <w:rPr>
                <w:rFonts w:hint="eastAsia" w:ascii="Times New Roman" w:hAnsi="Times New Roman"/>
                <w:highlight w:val="none"/>
              </w:rPr>
              <w:t>（2）</w:t>
            </w: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hint="eastAsia" w:ascii="Times New Roman" w:hAnsi="Times New Roman"/>
                <w:highlight w:val="none"/>
              </w:rPr>
              <w:t>评审</w:t>
            </w:r>
            <w:r>
              <w:rPr>
                <w:rFonts w:ascii="Times New Roman" w:hAnsi="Times New Roman"/>
                <w:highlight w:val="none"/>
              </w:rPr>
              <w:t>基准价计算方法</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rPr>
              <w:t>方法一</w:t>
            </w:r>
          </w:p>
          <w:p>
            <w:pPr>
              <w:adjustRightInd w:val="0"/>
              <w:snapToGrid w:val="0"/>
              <w:jc w:val="left"/>
              <w:rPr>
                <w:rFonts w:ascii="宋体" w:hAnsi="宋体" w:eastAsia="宋体"/>
                <w:highlight w:val="none"/>
              </w:rPr>
            </w:pPr>
            <w:r>
              <w:rPr>
                <w:rFonts w:hint="eastAsia" w:ascii="宋体" w:hAnsi="宋体" w:eastAsia="宋体"/>
                <w:highlight w:val="none"/>
              </w:rPr>
              <w:t>□方法二：评审基准价系数=</w:t>
            </w:r>
            <w:r>
              <w:rPr>
                <w:rFonts w:ascii="宋体" w:hAnsi="宋体" w:eastAsia="宋体"/>
                <w:highlight w:val="none"/>
                <w:u w:val="single"/>
              </w:rPr>
              <w:t xml:space="preserve">     </w:t>
            </w:r>
          </w:p>
          <w:p>
            <w:pPr>
              <w:adjustRightInd w:val="0"/>
              <w:snapToGrid w:val="0"/>
              <w:jc w:val="left"/>
              <w:rPr>
                <w:rFonts w:ascii="宋体" w:hAnsi="宋体" w:eastAsia="宋体"/>
                <w:highlight w:val="none"/>
              </w:rPr>
            </w:pPr>
            <w:r>
              <w:rPr>
                <w:rFonts w:hint="eastAsia" w:ascii="宋体" w:hAnsi="宋体"/>
                <w:highlight w:val="none"/>
                <w:lang w:eastAsia="zh-CN"/>
              </w:rPr>
              <w:t>□</w:t>
            </w:r>
            <w:r>
              <w:rPr>
                <w:rFonts w:hint="eastAsia" w:ascii="宋体" w:hAnsi="宋体" w:eastAsia="宋体"/>
                <w:highlight w:val="none"/>
              </w:rPr>
              <w:t>方法三</w:t>
            </w:r>
          </w:p>
          <w:p>
            <w:pPr>
              <w:adjustRightInd w:val="0"/>
              <w:snapToGrid w:val="0"/>
              <w:jc w:val="both"/>
              <w:rPr>
                <w:rFonts w:ascii="宋体" w:hAnsi="宋体" w:eastAsia="宋体"/>
                <w:highlight w:val="none"/>
              </w:rPr>
            </w:pPr>
            <w:r>
              <w:rPr>
                <w:rFonts w:hint="eastAsia" w:ascii="宋体" w:hAnsi="宋体" w:eastAsia="宋体"/>
                <w:highlight w:val="none"/>
                <w:lang w:eastAsia="zh-CN"/>
              </w:rPr>
              <w:t>☑</w:t>
            </w:r>
            <w:r>
              <w:rPr>
                <w:rFonts w:hint="eastAsia" w:ascii="宋体" w:hAnsi="宋体" w:eastAsia="宋体"/>
                <w:highlight w:val="none"/>
              </w:rPr>
              <w:t>方法四，具体方法为：</w:t>
            </w:r>
            <w:r>
              <w:rPr>
                <w:rFonts w:hint="eastAsia" w:ascii="Times New Roman" w:hAnsi="Times New Roman" w:eastAsia="宋体" w:cs="Times New Roman"/>
                <w:highlight w:val="none"/>
              </w:rPr>
              <w:t>采用低价优先法计算，即满足</w:t>
            </w:r>
            <w:r>
              <w:rPr>
                <w:rFonts w:hint="eastAsia" w:ascii="Times New Roman" w:hAnsi="Times New Roman" w:eastAsia="宋体" w:cs="Times New Roman"/>
                <w:highlight w:val="none"/>
                <w:lang w:val="en-US" w:eastAsia="zh-CN"/>
              </w:rPr>
              <w:t>询比</w:t>
            </w:r>
            <w:r>
              <w:rPr>
                <w:rFonts w:hint="eastAsia" w:ascii="Times New Roman" w:hAnsi="Times New Roman" w:eastAsia="宋体" w:cs="Times New Roman"/>
                <w:highlight w:val="none"/>
              </w:rPr>
              <w:t>文件要求且投标价格最低的投标报价为评标基准价，其价格分为满分。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794" w:type="dxa"/>
            <w:gridSpan w:val="2"/>
            <w:tcBorders>
              <w:top w:val="nil"/>
              <w:bottom w:val="single" w:color="auto" w:sz="4" w:space="0"/>
              <w:right w:val="single" w:color="auto" w:sz="4" w:space="0"/>
            </w:tcBorders>
            <w:vAlign w:val="center"/>
          </w:tcPr>
          <w:p>
            <w:pPr>
              <w:adjustRightInd w:val="0"/>
              <w:snapToGrid w:val="0"/>
              <w:jc w:val="center"/>
              <w:rPr>
                <w:rFonts w:ascii="Times New Roman" w:hAnsi="Times New Roman"/>
                <w:b/>
                <w:highlight w:val="none"/>
              </w:rPr>
            </w:pPr>
            <w:r>
              <w:rPr>
                <w:rFonts w:ascii="Times New Roman" w:hAnsi="Times New Roman"/>
                <w:b/>
                <w:highlight w:val="none"/>
              </w:rPr>
              <w:t>条款号</w:t>
            </w:r>
            <w:r>
              <w:rPr>
                <w:rFonts w:hint="eastAsia" w:ascii="Times New Roman" w:hAnsi="Times New Roman"/>
                <w:b/>
                <w:highlight w:val="none"/>
              </w:rPr>
              <w:t>及名称</w:t>
            </w: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highlight w:val="none"/>
              </w:rPr>
            </w:pPr>
            <w:r>
              <w:rPr>
                <w:rFonts w:ascii="Times New Roman" w:hAnsi="Times New Roman"/>
                <w:b/>
                <w:highlight w:val="none"/>
              </w:rPr>
              <w:t>评分因素</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highlight w:val="none"/>
              </w:rPr>
            </w:pPr>
            <w:r>
              <w:rPr>
                <w:rFonts w:ascii="Times New Roman" w:hAnsi="Times New Roman"/>
                <w:b/>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81" w:hRule="atLeast"/>
        </w:trPr>
        <w:tc>
          <w:tcPr>
            <w:tcW w:w="709" w:type="dxa"/>
            <w:vMerge w:val="restart"/>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w:t>
            </w:r>
            <w:r>
              <w:rPr>
                <w:rFonts w:hint="eastAsia" w:ascii="Times New Roman" w:hAnsi="Times New Roman"/>
                <w:highlight w:val="none"/>
              </w:rPr>
              <w:t xml:space="preserve"> 3</w:t>
            </w:r>
            <w:r>
              <w:rPr>
                <w:rFonts w:ascii="Times New Roman" w:hAnsi="Times New Roman"/>
                <w:highlight w:val="none"/>
              </w:rPr>
              <w:t>（</w:t>
            </w:r>
            <w:r>
              <w:rPr>
                <w:rFonts w:hint="eastAsia" w:ascii="Times New Roman" w:hAnsi="Times New Roman"/>
                <w:highlight w:val="none"/>
              </w:rPr>
              <w:t>1</w:t>
            </w:r>
            <w:r>
              <w:rPr>
                <w:rFonts w:ascii="Times New Roman" w:hAnsi="Times New Roman"/>
                <w:highlight w:val="none"/>
              </w:rPr>
              <w:t>）</w:t>
            </w:r>
          </w:p>
        </w:tc>
        <w:tc>
          <w:tcPr>
            <w:tcW w:w="108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highlight w:val="none"/>
                <w:lang w:val="en-US" w:eastAsia="zh-CN"/>
              </w:rPr>
            </w:pPr>
            <w:r>
              <w:rPr>
                <w:rFonts w:hint="eastAsia" w:ascii="Times New Roman" w:hAnsi="Times New Roman"/>
                <w:highlight w:val="none"/>
              </w:rPr>
              <w:t>商务评分标准</w:t>
            </w:r>
            <w:r>
              <w:rPr>
                <w:rFonts w:hint="eastAsia" w:ascii="Times New Roman" w:hAnsi="Times New Roman"/>
                <w:highlight w:val="none"/>
                <w:lang w:eastAsia="zh-CN"/>
              </w:rPr>
              <w:t>（</w:t>
            </w:r>
            <w:r>
              <w:rPr>
                <w:rFonts w:hint="eastAsia" w:ascii="Times New Roman" w:hAnsi="Times New Roman"/>
                <w:highlight w:val="none"/>
                <w:lang w:val="en-US" w:eastAsia="zh-CN"/>
              </w:rPr>
              <w:t>10分）</w:t>
            </w: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olor w:val="0000FF"/>
                <w:highlight w:val="none"/>
                <w:lang w:val="en-US" w:eastAsia="zh-CN"/>
              </w:rPr>
            </w:pPr>
            <w:r>
              <w:rPr>
                <w:rFonts w:hint="eastAsia" w:ascii="Times New Roman" w:hAnsi="Times New Roman" w:eastAsia="宋体" w:cs="Times New Roman"/>
                <w:highlight w:val="none"/>
                <w:lang w:val="en-US" w:eastAsia="zh-CN"/>
              </w:rPr>
              <w:t>参比产品</w:t>
            </w:r>
            <w:r>
              <w:rPr>
                <w:rFonts w:hint="eastAsia" w:ascii="Times New Roman" w:hAnsi="Times New Roman" w:eastAsia="宋体" w:cs="Times New Roman"/>
                <w:highlight w:val="none"/>
              </w:rPr>
              <w:t>业绩情况（不限定为供应商业绩）</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10分）</w:t>
            </w:r>
          </w:p>
        </w:tc>
        <w:tc>
          <w:tcPr>
            <w:tcW w:w="4536" w:type="dxa"/>
            <w:tcBorders>
              <w:top w:val="single" w:color="auto" w:sz="4" w:space="0"/>
              <w:left w:val="single" w:color="auto" w:sz="4" w:space="0"/>
              <w:bottom w:val="single" w:color="auto" w:sz="4" w:space="0"/>
              <w:right w:val="single" w:color="auto" w:sz="4" w:space="0"/>
            </w:tcBorders>
            <w:vAlign w:val="top"/>
          </w:tcPr>
          <w:p>
            <w:pPr>
              <w:adjustRightInd w:val="0"/>
              <w:snapToGrid w:val="0"/>
              <w:jc w:val="both"/>
              <w:rPr>
                <w:rFonts w:hint="eastAsia" w:ascii="Times New Roman" w:hAnsi="Times New Roman"/>
                <w:highlight w:val="none"/>
              </w:rPr>
            </w:pPr>
            <w:r>
              <w:rPr>
                <w:rFonts w:hint="eastAsia" w:ascii="Times New Roman" w:hAnsi="Times New Roman"/>
                <w:highlight w:val="none"/>
              </w:rPr>
              <w:t>202</w:t>
            </w:r>
            <w:r>
              <w:rPr>
                <w:rFonts w:hint="eastAsia" w:ascii="Times New Roman" w:hAnsi="Times New Roman"/>
                <w:highlight w:val="none"/>
                <w:lang w:val="en-US" w:eastAsia="zh-CN"/>
              </w:rPr>
              <w:t>3</w:t>
            </w:r>
            <w:r>
              <w:rPr>
                <w:rFonts w:hint="eastAsia" w:ascii="Times New Roman" w:hAnsi="Times New Roman"/>
                <w:highlight w:val="none"/>
              </w:rPr>
              <w:t>年1月1日以来（发票开具时间为准）的参比产品同品牌、同型号（任意一款产品）产品</w:t>
            </w:r>
            <w:r>
              <w:rPr>
                <w:rFonts w:hint="eastAsia" w:ascii="Times New Roman" w:hAnsi="Times New Roman"/>
                <w:highlight w:val="none"/>
                <w:lang w:val="en-US" w:eastAsia="zh-CN"/>
              </w:rPr>
              <w:t>在</w:t>
            </w:r>
            <w:r>
              <w:rPr>
                <w:rFonts w:hint="eastAsia" w:ascii="Times New Roman" w:hAnsi="Times New Roman"/>
                <w:highlight w:val="none"/>
              </w:rPr>
              <w:t>二级及以上公立医院销售业绩，每具有一份得2分。满分10分。</w:t>
            </w:r>
          </w:p>
          <w:p>
            <w:pPr>
              <w:adjustRightInd w:val="0"/>
              <w:snapToGrid w:val="0"/>
              <w:jc w:val="both"/>
              <w:rPr>
                <w:rFonts w:ascii="Times New Roman" w:hAnsi="Times New Roman"/>
                <w:highlight w:val="none"/>
              </w:rPr>
            </w:pPr>
            <w:r>
              <w:rPr>
                <w:rFonts w:hint="eastAsia" w:ascii="Times New Roman" w:hAnsi="Times New Roman"/>
                <w:highlight w:val="none"/>
              </w:rPr>
              <w:t>备注：供应商须在响应文件中提供发票和出货清单，否则将会被视为无效业绩合同。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vMerge w:val="restart"/>
            <w:tcBorders>
              <w:top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w:t>
            </w:r>
            <w:r>
              <w:rPr>
                <w:rFonts w:hint="eastAsia" w:ascii="Times New Roman" w:hAnsi="Times New Roman"/>
                <w:highlight w:val="none"/>
              </w:rPr>
              <w:t xml:space="preserve"> 3</w:t>
            </w:r>
            <w:r>
              <w:rPr>
                <w:rFonts w:ascii="Times New Roman" w:hAnsi="Times New Roman"/>
                <w:highlight w:val="none"/>
              </w:rPr>
              <w:t>（2）</w:t>
            </w:r>
          </w:p>
        </w:tc>
        <w:tc>
          <w:tcPr>
            <w:tcW w:w="1085" w:type="dxa"/>
            <w:vMerge w:val="restart"/>
            <w:tcBorders>
              <w:top w:val="single" w:color="auto" w:sz="4" w:space="0"/>
              <w:right w:val="single" w:color="auto" w:sz="4" w:space="0"/>
            </w:tcBorders>
            <w:vAlign w:val="center"/>
          </w:tcPr>
          <w:p>
            <w:pPr>
              <w:adjustRightInd w:val="0"/>
              <w:snapToGrid w:val="0"/>
              <w:jc w:val="center"/>
              <w:rPr>
                <w:rFonts w:hint="default" w:ascii="Times New Roman" w:hAnsi="Times New Roman" w:eastAsia="宋体"/>
                <w:highlight w:val="none"/>
                <w:lang w:val="en-US" w:eastAsia="zh-CN"/>
              </w:rPr>
            </w:pPr>
            <w:r>
              <w:rPr>
                <w:rFonts w:hint="eastAsia" w:ascii="Times New Roman" w:hAnsi="Times New Roman"/>
                <w:highlight w:val="none"/>
              </w:rPr>
              <w:t>技术评分标准</w:t>
            </w:r>
            <w:r>
              <w:rPr>
                <w:rFonts w:hint="eastAsia" w:ascii="Times New Roman" w:hAnsi="Times New Roman"/>
                <w:highlight w:val="none"/>
                <w:lang w:eastAsia="zh-CN"/>
              </w:rPr>
              <w:t>（</w:t>
            </w:r>
            <w:r>
              <w:rPr>
                <w:rFonts w:hint="eastAsia" w:ascii="Times New Roman" w:hAnsi="Times New Roman"/>
                <w:highlight w:val="none"/>
                <w:lang w:val="en-US" w:eastAsia="zh-CN"/>
              </w:rPr>
              <w:t>60分）</w:t>
            </w:r>
          </w:p>
        </w:tc>
        <w:tc>
          <w:tcPr>
            <w:tcW w:w="2317"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rPr>
              <w:t>技术参数响应性</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20分）</w:t>
            </w:r>
          </w:p>
        </w:tc>
        <w:tc>
          <w:tcPr>
            <w:tcW w:w="4536" w:type="dxa"/>
            <w:tcBorders>
              <w:top w:val="single" w:color="auto" w:sz="4" w:space="0"/>
              <w:left w:val="single" w:color="auto" w:sz="4" w:space="0"/>
              <w:bottom w:val="single" w:color="auto" w:sz="4" w:space="0"/>
              <w:right w:val="single" w:color="auto" w:sz="4" w:space="0"/>
            </w:tcBorders>
            <w:vAlign w:val="top"/>
          </w:tcPr>
          <w:p>
            <w:pPr>
              <w:adjustRightInd w:val="0"/>
              <w:snapToGrid w:val="0"/>
              <w:jc w:val="both"/>
              <w:rPr>
                <w:rFonts w:hint="eastAsia" w:ascii="Times New Roman" w:hAnsi="Times New Roman" w:eastAsia="宋体" w:cs="Times New Roman"/>
                <w:highlight w:val="none"/>
              </w:rPr>
            </w:pPr>
            <w:r>
              <w:rPr>
                <w:rFonts w:hint="eastAsia" w:ascii="Times New Roman" w:hAnsi="Times New Roman" w:eastAsia="宋体" w:cs="Times New Roman"/>
                <w:highlight w:val="none"/>
              </w:rPr>
              <w:t>一般参数出现一个负偏离，扣</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rPr>
              <w:t>分；带★号参数每出现一个负偏离，扣</w:t>
            </w:r>
            <w:r>
              <w:rPr>
                <w:rFonts w:hint="eastAsia" w:ascii="Times New Roman" w:hAnsi="Times New Roman" w:cs="Times New Roman"/>
                <w:highlight w:val="none"/>
                <w:lang w:val="en-US" w:eastAsia="zh-CN"/>
              </w:rPr>
              <w:t>4</w:t>
            </w:r>
            <w:r>
              <w:rPr>
                <w:rFonts w:hint="eastAsia" w:ascii="Times New Roman" w:hAnsi="Times New Roman" w:eastAsia="宋体" w:cs="Times New Roman"/>
                <w:highlight w:val="none"/>
              </w:rPr>
              <w:t>分。满分</w:t>
            </w:r>
            <w:r>
              <w:rPr>
                <w:rFonts w:hint="eastAsia" w:ascii="Times New Roman" w:hAnsi="Times New Roman" w:eastAsia="宋体" w:cs="Times New Roman"/>
                <w:highlight w:val="none"/>
                <w:lang w:val="en-US" w:eastAsia="zh-CN"/>
              </w:rPr>
              <w:t>20</w:t>
            </w:r>
            <w:r>
              <w:rPr>
                <w:rFonts w:hint="eastAsia" w:ascii="Times New Roman" w:hAnsi="Times New Roman" w:eastAsia="宋体" w:cs="Times New Roman"/>
                <w:highlight w:val="none"/>
              </w:rPr>
              <w:t>分</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09" w:type="dxa"/>
            <w:vMerge w:val="continue"/>
            <w:tcBorders>
              <w:right w:val="single" w:color="auto" w:sz="4" w:space="0"/>
            </w:tcBorders>
            <w:vAlign w:val="center"/>
          </w:tcPr>
          <w:p>
            <w:pPr>
              <w:adjustRightInd w:val="0"/>
              <w:snapToGrid w:val="0"/>
              <w:jc w:val="center"/>
              <w:rPr>
                <w:rFonts w:hint="eastAsia" w:ascii="Times New Roman" w:hAnsi="Times New Roman"/>
                <w:highlight w:val="none"/>
              </w:rPr>
            </w:pPr>
          </w:p>
        </w:tc>
        <w:tc>
          <w:tcPr>
            <w:tcW w:w="1085" w:type="dxa"/>
            <w:vMerge w:val="continue"/>
            <w:tcBorders>
              <w:right w:val="single" w:color="auto" w:sz="4" w:space="0"/>
            </w:tcBorders>
            <w:vAlign w:val="center"/>
          </w:tcPr>
          <w:p>
            <w:pPr>
              <w:adjustRightInd w:val="0"/>
              <w:snapToGrid w:val="0"/>
              <w:jc w:val="center"/>
              <w:rPr>
                <w:rFonts w:hint="eastAsia" w:ascii="Times New Roman" w:hAnsi="Times New Roman"/>
                <w:highlight w:val="none"/>
              </w:rPr>
            </w:pPr>
          </w:p>
        </w:tc>
        <w:tc>
          <w:tcPr>
            <w:tcW w:w="2317"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Times New Roman" w:hAnsi="Times New Roman" w:eastAsia="宋体" w:cs="Times New Roman"/>
                <w:highlight w:val="none"/>
              </w:rPr>
            </w:pPr>
          </w:p>
          <w:p>
            <w:pPr>
              <w:adjustRightInd w:val="0"/>
              <w:snapToGrid w:val="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rPr>
              <w:t>质量保证期</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4分）</w:t>
            </w:r>
          </w:p>
        </w:tc>
        <w:tc>
          <w:tcPr>
            <w:tcW w:w="4536" w:type="dxa"/>
            <w:tcBorders>
              <w:top w:val="single" w:color="auto" w:sz="4" w:space="0"/>
              <w:left w:val="single" w:color="auto" w:sz="4" w:space="0"/>
              <w:bottom w:val="single" w:color="auto" w:sz="4" w:space="0"/>
              <w:right w:val="single" w:color="auto" w:sz="4" w:space="0"/>
            </w:tcBorders>
            <w:vAlign w:val="top"/>
          </w:tcPr>
          <w:p>
            <w:pPr>
              <w:adjustRightInd w:val="0"/>
              <w:snapToGrid w:val="0"/>
              <w:jc w:val="both"/>
              <w:rPr>
                <w:rFonts w:hint="eastAsia" w:ascii="Times New Roman" w:hAnsi="Times New Roman" w:eastAsia="宋体" w:cs="Times New Roman"/>
                <w:highlight w:val="none"/>
              </w:rPr>
            </w:pPr>
            <w:r>
              <w:rPr>
                <w:rFonts w:hint="eastAsia" w:ascii="Times New Roman" w:hAnsi="Times New Roman" w:eastAsia="宋体" w:cs="Times New Roman"/>
                <w:highlight w:val="none"/>
              </w:rPr>
              <w:t>在</w:t>
            </w:r>
            <w:r>
              <w:rPr>
                <w:rFonts w:hint="eastAsia" w:ascii="Times New Roman" w:hAnsi="Times New Roman" w:eastAsia="宋体" w:cs="Times New Roman"/>
                <w:highlight w:val="none"/>
                <w:lang w:val="en-US" w:eastAsia="zh-CN"/>
              </w:rPr>
              <w:t>询比</w:t>
            </w:r>
            <w:r>
              <w:rPr>
                <w:rFonts w:hint="eastAsia" w:ascii="Times New Roman" w:hAnsi="Times New Roman" w:eastAsia="宋体" w:cs="Times New Roman"/>
                <w:highlight w:val="none"/>
              </w:rPr>
              <w:t>文件要求的基础上</w:t>
            </w:r>
            <w:r>
              <w:rPr>
                <w:rFonts w:hint="eastAsia" w:ascii="Times New Roman" w:hAnsi="Times New Roman" w:eastAsia="宋体" w:cs="Times New Roman"/>
                <w:highlight w:val="none"/>
                <w:lang w:val="en-US" w:eastAsia="zh-CN"/>
              </w:rPr>
              <w:t>设备</w:t>
            </w:r>
            <w:r>
              <w:rPr>
                <w:rFonts w:hint="eastAsia" w:ascii="Times New Roman" w:hAnsi="Times New Roman" w:eastAsia="宋体" w:cs="Times New Roman"/>
                <w:highlight w:val="none"/>
              </w:rPr>
              <w:t>每增加一年加</w:t>
            </w: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rPr>
              <w:t>分。满分</w:t>
            </w:r>
            <w:r>
              <w:rPr>
                <w:rFonts w:hint="eastAsia" w:ascii="Times New Roman" w:hAnsi="Times New Roman" w:eastAsia="宋体" w:cs="Times New Roman"/>
                <w:highlight w:val="none"/>
                <w:lang w:val="en-US" w:eastAsia="zh-CN"/>
              </w:rPr>
              <w:t>4</w:t>
            </w:r>
            <w:r>
              <w:rPr>
                <w:rFonts w:hint="eastAsia" w:ascii="Times New Roman" w:hAnsi="Times New Roman" w:eastAsia="宋体" w:cs="Times New Roman"/>
                <w:highlight w:val="none"/>
              </w:rPr>
              <w:t>分。</w:t>
            </w:r>
          </w:p>
          <w:p>
            <w:pPr>
              <w:adjustRightInd w:val="0"/>
              <w:snapToGrid w:val="0"/>
              <w:jc w:val="both"/>
              <w:rPr>
                <w:rFonts w:hint="eastAsia" w:ascii="Times New Roman" w:hAnsi="Times New Roman" w:eastAsia="宋体" w:cs="Times New Roman"/>
                <w:highlight w:val="none"/>
              </w:rPr>
            </w:pPr>
            <w:r>
              <w:rPr>
                <w:rFonts w:hint="eastAsia" w:ascii="Times New Roman" w:hAnsi="Times New Roman"/>
                <w:highlight w:val="none"/>
              </w:rPr>
              <w:t>备注：</w:t>
            </w:r>
            <w:r>
              <w:rPr>
                <w:rFonts w:hint="eastAsia" w:ascii="Times New Roman" w:hAnsi="Times New Roman"/>
                <w:highlight w:val="none"/>
                <w:lang w:val="en-US" w:eastAsia="zh-CN"/>
              </w:rPr>
              <w:t>供应商</w:t>
            </w:r>
            <w:r>
              <w:rPr>
                <w:rFonts w:hint="eastAsia" w:ascii="Times New Roman" w:hAnsi="Times New Roman"/>
                <w:highlight w:val="none"/>
              </w:rPr>
              <w:t>于第</w:t>
            </w:r>
            <w:r>
              <w:rPr>
                <w:rFonts w:hint="eastAsia" w:ascii="Times New Roman" w:hAnsi="Times New Roman"/>
                <w:highlight w:val="none"/>
                <w:lang w:val="en-US" w:eastAsia="zh-CN"/>
              </w:rPr>
              <w:t>六</w:t>
            </w:r>
            <w:r>
              <w:rPr>
                <w:rFonts w:hint="eastAsia" w:ascii="Times New Roman" w:hAnsi="Times New Roman"/>
                <w:highlight w:val="none"/>
              </w:rPr>
              <w:t>章《</w:t>
            </w:r>
            <w:r>
              <w:rPr>
                <w:rFonts w:hint="eastAsia" w:ascii="Times New Roman" w:hAnsi="Times New Roman"/>
                <w:highlight w:val="none"/>
                <w:lang w:val="en-US" w:eastAsia="zh-CN"/>
              </w:rPr>
              <w:t>响应</w:t>
            </w:r>
            <w:r>
              <w:rPr>
                <w:rFonts w:hint="eastAsia" w:ascii="Times New Roman" w:hAnsi="Times New Roman"/>
                <w:highlight w:val="none"/>
              </w:rPr>
              <w:t>文件格式》</w:t>
            </w:r>
            <w:r>
              <w:rPr>
                <w:rFonts w:hint="eastAsia" w:ascii="Times New Roman" w:hAnsi="Times New Roman"/>
                <w:highlight w:val="none"/>
                <w:lang w:val="en-US" w:eastAsia="zh-CN"/>
              </w:rPr>
              <w:t>中</w:t>
            </w:r>
            <w:r>
              <w:rPr>
                <w:rFonts w:hint="eastAsia" w:ascii="Times New Roman" w:hAnsi="Times New Roman"/>
                <w:highlight w:val="none"/>
              </w:rPr>
              <w:t xml:space="preserve">《4.1、设备分项报价表》列明质保期即可，未提供或提供不全的不得分。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vMerge w:val="continue"/>
            <w:tcBorders>
              <w:right w:val="single" w:color="auto" w:sz="4" w:space="0"/>
            </w:tcBorders>
            <w:vAlign w:val="center"/>
          </w:tcPr>
          <w:p>
            <w:pPr>
              <w:adjustRightInd w:val="0"/>
              <w:snapToGrid w:val="0"/>
              <w:jc w:val="center"/>
              <w:rPr>
                <w:rFonts w:ascii="Times New Roman" w:hAnsi="Times New Roman"/>
                <w:highlight w:val="none"/>
              </w:rPr>
            </w:pPr>
          </w:p>
        </w:tc>
        <w:tc>
          <w:tcPr>
            <w:tcW w:w="1085" w:type="dxa"/>
            <w:vMerge w:val="continue"/>
            <w:tcBorders>
              <w:right w:val="single" w:color="auto" w:sz="4" w:space="0"/>
            </w:tcBorders>
            <w:vAlign w:val="center"/>
          </w:tcPr>
          <w:p>
            <w:pPr>
              <w:adjustRightInd w:val="0"/>
              <w:snapToGrid w:val="0"/>
              <w:jc w:val="center"/>
              <w:rPr>
                <w:rFonts w:ascii="Times New Roman" w:hAnsi="Times New Roman"/>
                <w:highlight w:val="none"/>
              </w:rPr>
            </w:pPr>
          </w:p>
        </w:tc>
        <w:tc>
          <w:tcPr>
            <w:tcW w:w="2317"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Times New Roman" w:hAnsi="Times New Roman" w:eastAsia="宋体" w:cs="Times New Roman"/>
                <w:highlight w:val="none"/>
                <w:lang w:val="en-US" w:eastAsia="zh-CN"/>
              </w:rPr>
            </w:pPr>
          </w:p>
          <w:p>
            <w:pPr>
              <w:adjustRightInd w:val="0"/>
              <w:snapToGrid w:val="0"/>
              <w:jc w:val="center"/>
              <w:rPr>
                <w:rFonts w:hint="eastAsia" w:ascii="Times New Roman" w:hAnsi="Times New Roman" w:eastAsia="宋体" w:cs="Times New Roman"/>
                <w:highlight w:val="none"/>
                <w:lang w:val="en-US" w:eastAsia="zh-CN"/>
              </w:rPr>
            </w:pPr>
          </w:p>
          <w:p>
            <w:pPr>
              <w:adjustRightInd w:val="0"/>
              <w:snapToGrid w:val="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参比</w:t>
            </w:r>
            <w:r>
              <w:rPr>
                <w:rFonts w:hint="eastAsia" w:ascii="Times New Roman" w:hAnsi="Times New Roman" w:eastAsia="宋体" w:cs="Times New Roman"/>
                <w:highlight w:val="none"/>
              </w:rPr>
              <w:t>产品的先进性</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12分）</w:t>
            </w:r>
          </w:p>
        </w:tc>
        <w:tc>
          <w:tcPr>
            <w:tcW w:w="4536" w:type="dxa"/>
            <w:tcBorders>
              <w:top w:val="single" w:color="auto" w:sz="4" w:space="0"/>
              <w:left w:val="single" w:color="auto" w:sz="4" w:space="0"/>
              <w:bottom w:val="single" w:color="auto" w:sz="4" w:space="0"/>
              <w:right w:val="single" w:color="auto" w:sz="4" w:space="0"/>
            </w:tcBorders>
            <w:vAlign w:val="top"/>
          </w:tcPr>
          <w:p>
            <w:pPr>
              <w:adjustRightInd w:val="0"/>
              <w:snapToGrid w:val="0"/>
              <w:jc w:val="both"/>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根据供应商所投产品的技术先进性、产品性能、安全性、稳定性等方面进行综合评审。</w:t>
            </w:r>
            <w:r>
              <w:rPr>
                <w:rFonts w:hint="eastAsia" w:ascii="Times New Roman" w:hAnsi="Times New Roman" w:eastAsia="宋体" w:cs="Times New Roman"/>
                <w:highlight w:val="none"/>
              </w:rPr>
              <w:t>(满分1</w:t>
            </w: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rPr>
              <w:t>分)</w:t>
            </w:r>
          </w:p>
          <w:p>
            <w:pPr>
              <w:adjustRightInd w:val="0"/>
              <w:snapToGrid w:val="0"/>
              <w:jc w:val="both"/>
              <w:rPr>
                <w:rFonts w:hint="eastAsia" w:ascii="Times New Roman" w:hAnsi="Times New Roman" w:eastAsia="宋体" w:cs="Times New Roman"/>
                <w:highlight w:val="none"/>
              </w:rPr>
            </w:pPr>
            <w:r>
              <w:rPr>
                <w:rFonts w:hint="default" w:ascii="Times New Roman" w:hAnsi="Times New Roman" w:eastAsia="宋体" w:cs="Times New Roman"/>
                <w:highlight w:val="none"/>
                <w:lang w:val="en-US" w:eastAsia="zh-CN"/>
              </w:rPr>
              <w:t>优:</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highlight w:val="none"/>
                <w:lang w:val="en-US" w:eastAsia="zh-CN"/>
              </w:rPr>
              <w:t>(不含)-1</w:t>
            </w:r>
            <w:r>
              <w:rPr>
                <w:rFonts w:hint="eastAsia" w:ascii="Times New Roman" w:hAnsi="Times New Roman" w:eastAsia="宋体" w:cs="Times New Roman"/>
                <w:highlight w:val="none"/>
                <w:lang w:val="en-US" w:eastAsia="zh-CN"/>
              </w:rPr>
              <w:t>2</w:t>
            </w:r>
            <w:r>
              <w:rPr>
                <w:rFonts w:hint="default" w:ascii="Times New Roman" w:hAnsi="Times New Roman" w:eastAsia="宋体" w:cs="Times New Roman"/>
                <w:highlight w:val="none"/>
                <w:lang w:val="en-US" w:eastAsia="zh-CN"/>
              </w:rPr>
              <w:t>分</w:t>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highlight w:val="none"/>
                <w:lang w:val="en-US" w:eastAsia="zh-CN"/>
              </w:rPr>
              <w:t>良:</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highlight w:val="none"/>
                <w:lang w:val="en-US" w:eastAsia="zh-CN"/>
              </w:rPr>
              <w:t>(不含)-</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highlight w:val="none"/>
                <w:lang w:val="en-US" w:eastAsia="zh-CN"/>
              </w:rPr>
              <w:t>分</w:t>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highlight w:val="none"/>
                <w:lang w:val="en-US" w:eastAsia="zh-CN"/>
              </w:rPr>
              <w:t>一般:0-</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vMerge w:val="continue"/>
            <w:tcBorders>
              <w:right w:val="single" w:color="auto" w:sz="4" w:space="0"/>
            </w:tcBorders>
            <w:vAlign w:val="center"/>
          </w:tcPr>
          <w:p>
            <w:pPr>
              <w:adjustRightInd w:val="0"/>
              <w:snapToGrid w:val="0"/>
              <w:jc w:val="center"/>
              <w:rPr>
                <w:rFonts w:ascii="Times New Roman" w:hAnsi="Times New Roman"/>
                <w:highlight w:val="none"/>
              </w:rPr>
            </w:pPr>
          </w:p>
        </w:tc>
        <w:tc>
          <w:tcPr>
            <w:tcW w:w="1085" w:type="dxa"/>
            <w:vMerge w:val="continue"/>
            <w:tcBorders>
              <w:right w:val="single" w:color="auto" w:sz="4" w:space="0"/>
            </w:tcBorders>
            <w:vAlign w:val="center"/>
          </w:tcPr>
          <w:p>
            <w:pPr>
              <w:adjustRightInd w:val="0"/>
              <w:snapToGrid w:val="0"/>
              <w:jc w:val="center"/>
              <w:rPr>
                <w:rFonts w:ascii="Times New Roman" w:hAnsi="Times New Roman"/>
                <w:highlight w:val="none"/>
              </w:rPr>
            </w:pP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rPr>
              <w:t>配送方案</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12分）</w:t>
            </w:r>
          </w:p>
        </w:tc>
        <w:tc>
          <w:tcPr>
            <w:tcW w:w="4536" w:type="dxa"/>
            <w:tcBorders>
              <w:top w:val="single" w:color="auto" w:sz="4" w:space="0"/>
              <w:left w:val="single" w:color="auto" w:sz="4" w:space="0"/>
              <w:bottom w:val="single" w:color="auto" w:sz="4" w:space="0"/>
              <w:right w:val="single" w:color="auto" w:sz="4" w:space="0"/>
            </w:tcBorders>
            <w:vAlign w:val="top"/>
          </w:tcPr>
          <w:p>
            <w:pPr>
              <w:adjustRightInd w:val="0"/>
              <w:snapToGrid w:val="0"/>
              <w:jc w:val="both"/>
              <w:rPr>
                <w:rFonts w:hint="eastAsia" w:ascii="Times New Roman" w:hAnsi="Times New Roman" w:eastAsia="宋体" w:cs="Times New Roman"/>
                <w:highlight w:val="none"/>
              </w:rPr>
            </w:pPr>
            <w:r>
              <w:rPr>
                <w:rFonts w:hint="eastAsia" w:ascii="Times New Roman" w:hAnsi="Times New Roman" w:eastAsia="宋体" w:cs="Times New Roman"/>
                <w:highlight w:val="none"/>
              </w:rPr>
              <w:t>根据</w:t>
            </w:r>
            <w:r>
              <w:rPr>
                <w:rFonts w:hint="eastAsia" w:ascii="Times New Roman" w:hAnsi="Times New Roman" w:eastAsia="宋体" w:cs="Times New Roman"/>
                <w:highlight w:val="none"/>
                <w:lang w:val="en-US" w:eastAsia="zh-CN"/>
              </w:rPr>
              <w:t>供应商</w:t>
            </w:r>
            <w:r>
              <w:rPr>
                <w:rFonts w:hint="eastAsia" w:ascii="Times New Roman" w:hAnsi="Times New Roman" w:eastAsia="宋体" w:cs="Times New Roman"/>
                <w:highlight w:val="none"/>
              </w:rPr>
              <w:t>提供的配送服务方案进行横向比较并综合打分，配送服务方案应根据采购人的地理位置以及实际需求进行编制，配送服务方案应包括</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时效性</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设备配置、紧急(急救)配送、退换货、保障方案等方面内容(满分1</w:t>
            </w: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rPr>
              <w:t>分)</w:t>
            </w:r>
          </w:p>
          <w:p>
            <w:pPr>
              <w:adjustRightInd w:val="0"/>
              <w:snapToGrid w:val="0"/>
              <w:jc w:val="both"/>
              <w:rPr>
                <w:rFonts w:hint="eastAsia" w:ascii="Times New Roman" w:hAnsi="Times New Roman" w:eastAsia="宋体" w:cs="Times New Roman"/>
                <w:highlight w:val="none"/>
              </w:rPr>
            </w:pPr>
            <w:r>
              <w:rPr>
                <w:rFonts w:hint="default" w:ascii="Times New Roman" w:hAnsi="Times New Roman" w:eastAsia="宋体" w:cs="Times New Roman"/>
                <w:highlight w:val="none"/>
                <w:lang w:val="en-US" w:eastAsia="zh-CN"/>
              </w:rPr>
              <w:t>优:</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highlight w:val="none"/>
                <w:lang w:val="en-US" w:eastAsia="zh-CN"/>
              </w:rPr>
              <w:t>(不含)-1</w:t>
            </w:r>
            <w:r>
              <w:rPr>
                <w:rFonts w:hint="eastAsia" w:ascii="Times New Roman" w:hAnsi="Times New Roman" w:eastAsia="宋体" w:cs="Times New Roman"/>
                <w:highlight w:val="none"/>
                <w:lang w:val="en-US" w:eastAsia="zh-CN"/>
              </w:rPr>
              <w:t>2</w:t>
            </w:r>
            <w:r>
              <w:rPr>
                <w:rFonts w:hint="default" w:ascii="Times New Roman" w:hAnsi="Times New Roman" w:eastAsia="宋体" w:cs="Times New Roman"/>
                <w:highlight w:val="none"/>
                <w:lang w:val="en-US" w:eastAsia="zh-CN"/>
              </w:rPr>
              <w:t>分</w:t>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highlight w:val="none"/>
                <w:lang w:val="en-US" w:eastAsia="zh-CN"/>
              </w:rPr>
              <w:t>良:</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highlight w:val="none"/>
                <w:lang w:val="en-US" w:eastAsia="zh-CN"/>
              </w:rPr>
              <w:t>(不含)-</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highlight w:val="none"/>
                <w:lang w:val="en-US" w:eastAsia="zh-CN"/>
              </w:rPr>
              <w:t>分</w:t>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highlight w:val="none"/>
                <w:lang w:val="en-US" w:eastAsia="zh-CN"/>
              </w:rPr>
              <w:t>一般:0-</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vMerge w:val="continue"/>
            <w:tcBorders>
              <w:right w:val="single" w:color="auto" w:sz="4" w:space="0"/>
            </w:tcBorders>
            <w:vAlign w:val="top"/>
          </w:tcPr>
          <w:p>
            <w:pPr>
              <w:adjustRightInd w:val="0"/>
              <w:snapToGrid w:val="0"/>
              <w:rPr>
                <w:rFonts w:ascii="Times New Roman" w:hAnsi="Times New Roman"/>
                <w:highlight w:val="none"/>
              </w:rPr>
            </w:pPr>
          </w:p>
        </w:tc>
        <w:tc>
          <w:tcPr>
            <w:tcW w:w="1085" w:type="dxa"/>
            <w:vMerge w:val="continue"/>
            <w:tcBorders>
              <w:right w:val="single" w:color="auto" w:sz="4" w:space="0"/>
            </w:tcBorders>
            <w:vAlign w:val="top"/>
          </w:tcPr>
          <w:p>
            <w:pPr>
              <w:adjustRightInd w:val="0"/>
              <w:snapToGrid w:val="0"/>
              <w:rPr>
                <w:rFonts w:ascii="Times New Roman" w:hAnsi="Times New Roman"/>
                <w:highlight w:val="none"/>
              </w:rPr>
            </w:pPr>
          </w:p>
        </w:tc>
        <w:tc>
          <w:tcPr>
            <w:tcW w:w="2317" w:type="dxa"/>
            <w:tcBorders>
              <w:top w:val="single" w:color="auto" w:sz="4" w:space="0"/>
              <w:left w:val="single" w:color="auto" w:sz="4" w:space="0"/>
              <w:right w:val="single" w:color="auto" w:sz="4" w:space="0"/>
            </w:tcBorders>
            <w:tcMar>
              <w:left w:w="57" w:type="dxa"/>
              <w:right w:w="57" w:type="dxa"/>
            </w:tcMar>
            <w:vAlign w:val="top"/>
          </w:tcPr>
          <w:p>
            <w:pPr>
              <w:adjustRightInd w:val="0"/>
              <w:snapToGrid w:val="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rPr>
              <w:t>售后服务</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12分）</w:t>
            </w:r>
          </w:p>
        </w:tc>
        <w:tc>
          <w:tcPr>
            <w:tcW w:w="4536" w:type="dxa"/>
            <w:tcBorders>
              <w:top w:val="single" w:color="auto" w:sz="4" w:space="0"/>
              <w:left w:val="single" w:color="auto" w:sz="4" w:space="0"/>
              <w:right w:val="single" w:color="auto" w:sz="4" w:space="0"/>
            </w:tcBorders>
            <w:tcMar>
              <w:left w:w="57" w:type="dxa"/>
              <w:right w:w="57" w:type="dxa"/>
            </w:tcMar>
            <w:vAlign w:val="top"/>
          </w:tcPr>
          <w:p>
            <w:pPr>
              <w:adjustRightInd w:val="0"/>
              <w:snapToGrid w:val="0"/>
              <w:jc w:val="both"/>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根据供应商提供的售后服务管理制度、保障措施、售后人员配备等情况综合评审。</w:t>
            </w:r>
            <w:r>
              <w:rPr>
                <w:rFonts w:hint="eastAsia" w:ascii="Times New Roman" w:hAnsi="Times New Roman" w:eastAsia="宋体" w:cs="Times New Roman"/>
                <w:highlight w:val="none"/>
              </w:rPr>
              <w:t>(满分</w:t>
            </w:r>
            <w:r>
              <w:rPr>
                <w:rFonts w:hint="eastAsia" w:ascii="Times New Roman" w:hAnsi="Times New Roman" w:eastAsia="宋体" w:cs="Times New Roman"/>
                <w:highlight w:val="none"/>
                <w:lang w:val="en-US" w:eastAsia="zh-CN"/>
              </w:rPr>
              <w:t>12</w:t>
            </w:r>
            <w:r>
              <w:rPr>
                <w:rFonts w:hint="eastAsia" w:ascii="Times New Roman" w:hAnsi="Times New Roman" w:eastAsia="宋体" w:cs="Times New Roman"/>
                <w:highlight w:val="none"/>
              </w:rPr>
              <w:t>分)</w:t>
            </w:r>
          </w:p>
          <w:p>
            <w:pPr>
              <w:adjustRightInd w:val="0"/>
              <w:snapToGrid w:val="0"/>
              <w:jc w:val="both"/>
              <w:rPr>
                <w:rFonts w:hint="eastAsia" w:ascii="Times New Roman" w:hAnsi="Times New Roman" w:eastAsia="宋体" w:cs="Times New Roman"/>
                <w:highlight w:val="none"/>
              </w:rPr>
            </w:pPr>
            <w:r>
              <w:rPr>
                <w:rFonts w:hint="default" w:ascii="Times New Roman" w:hAnsi="Times New Roman" w:eastAsia="宋体" w:cs="Times New Roman"/>
                <w:highlight w:val="none"/>
                <w:lang w:val="en-US" w:eastAsia="zh-CN"/>
              </w:rPr>
              <w:t>优:</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highlight w:val="none"/>
                <w:lang w:val="en-US" w:eastAsia="zh-CN"/>
              </w:rPr>
              <w:t>(不含)-1</w:t>
            </w:r>
            <w:r>
              <w:rPr>
                <w:rFonts w:hint="eastAsia" w:ascii="Times New Roman" w:hAnsi="Times New Roman" w:eastAsia="宋体" w:cs="Times New Roman"/>
                <w:highlight w:val="none"/>
                <w:lang w:val="en-US" w:eastAsia="zh-CN"/>
              </w:rPr>
              <w:t>2</w:t>
            </w:r>
            <w:r>
              <w:rPr>
                <w:rFonts w:hint="default" w:ascii="Times New Roman" w:hAnsi="Times New Roman" w:eastAsia="宋体" w:cs="Times New Roman"/>
                <w:highlight w:val="none"/>
                <w:lang w:val="en-US" w:eastAsia="zh-CN"/>
              </w:rPr>
              <w:t>分</w:t>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highlight w:val="none"/>
                <w:lang w:val="en-US" w:eastAsia="zh-CN"/>
              </w:rPr>
              <w:t>良:</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highlight w:val="none"/>
                <w:lang w:val="en-US" w:eastAsia="zh-CN"/>
              </w:rPr>
              <w:t>(不含)-</w:t>
            </w:r>
            <w:r>
              <w:rPr>
                <w:rFonts w:hint="eastAsia" w:ascii="Times New Roman" w:hAnsi="Times New Roman" w:eastAsia="宋体" w:cs="Times New Roman"/>
                <w:highlight w:val="none"/>
                <w:lang w:val="en-US" w:eastAsia="zh-CN"/>
              </w:rPr>
              <w:t>9</w:t>
            </w:r>
            <w:r>
              <w:rPr>
                <w:rFonts w:hint="default" w:ascii="Times New Roman" w:hAnsi="Times New Roman" w:eastAsia="宋体" w:cs="Times New Roman"/>
                <w:highlight w:val="none"/>
                <w:lang w:val="en-US" w:eastAsia="zh-CN"/>
              </w:rPr>
              <w:t>分</w:t>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highlight w:val="none"/>
                <w:lang w:val="en-US" w:eastAsia="zh-CN"/>
              </w:rPr>
              <w:t>一般:0-</w:t>
            </w:r>
            <w:r>
              <w:rPr>
                <w:rFonts w:hint="eastAsia" w:ascii="Times New Roman" w:hAnsi="Times New Roman" w:eastAsia="宋体" w:cs="Times New Roman"/>
                <w:highlight w:val="none"/>
                <w:lang w:val="en-US" w:eastAsia="zh-CN"/>
              </w:rPr>
              <w:t>6</w:t>
            </w:r>
            <w:r>
              <w:rPr>
                <w:rFonts w:hint="default" w:ascii="Times New Roman" w:hAnsi="Times New Roman" w:eastAsia="宋体" w:cs="Times New Roman"/>
                <w:highlight w:val="none"/>
                <w:lang w:val="en-US" w:eastAsia="zh-CN"/>
              </w:rPr>
              <w:t xml:space="preserve"> </w:t>
            </w:r>
            <w:r>
              <w:rPr>
                <w:rFonts w:hint="eastAsia" w:ascii="Times New Roman" w:hAnsi="Times New Roman" w:eastAsia="宋体" w:cs="Times New Roman"/>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w:t>
            </w:r>
            <w:r>
              <w:rPr>
                <w:rFonts w:hint="eastAsia" w:ascii="Times New Roman" w:hAnsi="Times New Roman"/>
                <w:highlight w:val="none"/>
              </w:rPr>
              <w:t xml:space="preserve"> 3</w:t>
            </w:r>
            <w:r>
              <w:rPr>
                <w:rFonts w:ascii="Times New Roman" w:hAnsi="Times New Roman"/>
                <w:highlight w:val="none"/>
              </w:rPr>
              <w:t>（3）</w:t>
            </w:r>
          </w:p>
        </w:tc>
        <w:tc>
          <w:tcPr>
            <w:tcW w:w="10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highlight w:val="none"/>
              </w:rPr>
            </w:pPr>
            <w:r>
              <w:rPr>
                <w:rFonts w:hint="eastAsia" w:ascii="宋体" w:hAnsi="宋体" w:eastAsia="宋体"/>
                <w:highlight w:val="none"/>
              </w:rPr>
              <w:t>报价</w:t>
            </w:r>
            <w:r>
              <w:rPr>
                <w:rFonts w:ascii="宋体" w:hAnsi="宋体" w:eastAsia="宋体"/>
                <w:highlight w:val="none"/>
              </w:rPr>
              <w:t>评分标准</w:t>
            </w:r>
          </w:p>
        </w:tc>
        <w:tc>
          <w:tcPr>
            <w:tcW w:w="68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default" w:ascii="宋体" w:hAnsi="宋体" w:eastAsia="宋体"/>
                <w:highlight w:val="none"/>
                <w:lang w:val="en-US" w:eastAsia="zh-CN"/>
              </w:rPr>
            </w:pPr>
            <w:r>
              <w:rPr>
                <w:rFonts w:hint="eastAsia" w:ascii="宋体" w:hAnsi="宋体" w:eastAsia="宋体"/>
                <w:highlight w:val="none"/>
                <w:lang w:eastAsia="zh-CN"/>
              </w:rPr>
              <w:t>□</w:t>
            </w:r>
            <w:r>
              <w:rPr>
                <w:rFonts w:hint="eastAsia" w:ascii="宋体" w:hAnsi="宋体" w:eastAsia="宋体"/>
                <w:highlight w:val="none"/>
              </w:rPr>
              <w:t>方法一：</w:t>
            </w:r>
            <w:r>
              <w:rPr>
                <w:rFonts w:hint="eastAsia" w:ascii="Times New Roman" w:hAnsi="Times New Roman" w:eastAsia="宋体" w:cs="Times New Roman"/>
                <w:highlight w:val="none"/>
              </w:rPr>
              <w:t>E1=，E2=</w:t>
            </w:r>
          </w:p>
          <w:p>
            <w:pPr>
              <w:adjustRightInd w:val="0"/>
              <w:snapToGrid w:val="0"/>
              <w:jc w:val="left"/>
              <w:rPr>
                <w:rFonts w:ascii="宋体" w:hAnsi="宋体" w:eastAsia="宋体"/>
                <w:highlight w:val="none"/>
              </w:rPr>
            </w:pPr>
            <w:r>
              <w:rPr>
                <w:rFonts w:hint="eastAsia" w:ascii="宋体" w:hAnsi="宋体" w:eastAsia="宋体"/>
                <w:highlight w:val="none"/>
              </w:rPr>
              <w:t>□方法二</w:t>
            </w:r>
          </w:p>
          <w:p>
            <w:pPr>
              <w:adjustRightInd w:val="0"/>
              <w:snapToGrid w:val="0"/>
              <w:jc w:val="left"/>
              <w:rPr>
                <w:rFonts w:hint="eastAsia" w:ascii="宋体" w:hAnsi="宋体" w:eastAsia="宋体"/>
                <w:highlight w:val="none"/>
                <w:u w:val="single"/>
              </w:rPr>
            </w:pPr>
            <w:r>
              <w:rPr>
                <w:rFonts w:hint="eastAsia" w:ascii="宋体" w:hAnsi="宋体" w:eastAsia="宋体"/>
                <w:highlight w:val="none"/>
                <w:lang w:eastAsia="zh-CN"/>
              </w:rPr>
              <w:t>☑</w:t>
            </w:r>
            <w:r>
              <w:rPr>
                <w:rFonts w:hint="eastAsia" w:ascii="宋体" w:hAnsi="宋体" w:eastAsia="宋体"/>
                <w:highlight w:val="none"/>
              </w:rPr>
              <w:t>方法三：具体方法为：</w:t>
            </w:r>
            <w:r>
              <w:rPr>
                <w:rFonts w:hint="eastAsia" w:ascii="宋体" w:hAnsi="宋体" w:eastAsia="宋体"/>
                <w:highlight w:val="none"/>
                <w:u w:val="single"/>
              </w:rPr>
              <w:t xml:space="preserve">采用低价优先法计算，即满足招标文件要求且投标价格最低的投标报价为评标基准价，其价格分为满分。其他投标人的价格分统一按照下列公式计算（保留两位小数，两位小数后四舍五入）： </w:t>
            </w:r>
          </w:p>
          <w:p>
            <w:pPr>
              <w:adjustRightInd w:val="0"/>
              <w:snapToGrid w:val="0"/>
              <w:jc w:val="left"/>
              <w:rPr>
                <w:rFonts w:hint="default" w:ascii="宋体" w:hAnsi="宋体" w:eastAsia="宋体"/>
                <w:highlight w:val="none"/>
                <w:lang w:val="en-US" w:eastAsia="zh-CN"/>
              </w:rPr>
            </w:pPr>
            <w:r>
              <w:rPr>
                <w:rFonts w:hint="eastAsia" w:ascii="宋体" w:hAnsi="宋体" w:eastAsia="宋体"/>
                <w:highlight w:val="none"/>
                <w:u w:val="single"/>
              </w:rPr>
              <w:t>投标报价得分=（评标基准价／投标报价）×100×30分</w:t>
            </w:r>
            <w:r>
              <w:rPr>
                <w:rFonts w:hint="eastAsia" w:ascii="宋体" w:hAnsi="宋体" w:eastAsia="宋体"/>
                <w:highlight w:val="none"/>
                <w:u w:val="single"/>
                <w:lang w:val="en-US" w:eastAsia="zh-CN"/>
              </w:rPr>
              <w:t>/满分100分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7" w:hRule="atLeast"/>
        </w:trPr>
        <w:tc>
          <w:tcPr>
            <w:tcW w:w="8647"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Times New Roman" w:hAnsi="Times New Roman" w:eastAsia="宋体"/>
                <w:highlight w:val="none"/>
                <w:lang w:eastAsia="zh-CN"/>
              </w:rPr>
            </w:pPr>
            <w:r>
              <w:rPr>
                <w:rFonts w:hint="eastAsia" w:ascii="Times New Roman" w:hAnsi="Times New Roman" w:eastAsia="宋体" w:cs="Times New Roman"/>
                <w:b/>
                <w:highlight w:val="none"/>
              </w:rPr>
              <w:t>需要补充的其他内容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647"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Times New Roman" w:hAnsi="Times New Roman" w:eastAsia="宋体"/>
                <w:highlight w:val="none"/>
                <w:lang w:eastAsia="zh-CN"/>
              </w:rPr>
            </w:pPr>
            <w:r>
              <w:rPr>
                <w:rFonts w:hint="eastAsia" w:ascii="宋体" w:hAnsi="宋体" w:eastAsia="宋体" w:cs="Times New Roman"/>
                <w:highlight w:val="none"/>
              </w:rPr>
              <w:t>评</w:t>
            </w:r>
            <w:r>
              <w:rPr>
                <w:rFonts w:hint="eastAsia" w:ascii="宋体" w:hAnsi="宋体" w:eastAsia="宋体" w:cs="Times New Roman"/>
                <w:highlight w:val="none"/>
                <w:lang w:val="en-US" w:eastAsia="zh-CN"/>
              </w:rPr>
              <w:t>审</w:t>
            </w:r>
            <w:r>
              <w:rPr>
                <w:rFonts w:hint="eastAsia" w:ascii="宋体" w:hAnsi="宋体" w:eastAsia="宋体" w:cs="Times New Roman"/>
                <w:highlight w:val="none"/>
              </w:rPr>
              <w:t>委员会认为</w:t>
            </w:r>
            <w:r>
              <w:rPr>
                <w:rFonts w:hint="eastAsia" w:ascii="宋体" w:hAnsi="宋体" w:eastAsia="宋体" w:cs="Times New Roman"/>
                <w:highlight w:val="none"/>
                <w:lang w:val="en-US" w:eastAsia="zh-CN"/>
              </w:rPr>
              <w:t>供应商</w:t>
            </w:r>
            <w:r>
              <w:rPr>
                <w:rFonts w:hint="eastAsia" w:ascii="宋体" w:hAnsi="宋体" w:eastAsia="宋体" w:cs="Times New Roman"/>
                <w:highlight w:val="none"/>
              </w:rPr>
              <w:t>的报价明显低于其他通过符合性审查</w:t>
            </w:r>
            <w:r>
              <w:rPr>
                <w:rFonts w:hint="eastAsia" w:ascii="宋体" w:hAnsi="宋体" w:eastAsia="宋体" w:cs="Times New Roman"/>
                <w:highlight w:val="none"/>
                <w:lang w:val="en-US" w:eastAsia="zh-CN"/>
              </w:rPr>
              <w:t>供应商</w:t>
            </w:r>
            <w:r>
              <w:rPr>
                <w:rFonts w:hint="eastAsia" w:ascii="宋体" w:hAnsi="宋体" w:eastAsia="宋体" w:cs="Times New Roman"/>
                <w:highlight w:val="none"/>
              </w:rPr>
              <w:t>的报价，有可能影响产品质量或者不能诚信履约的，应当要求其在评</w:t>
            </w:r>
            <w:r>
              <w:rPr>
                <w:rFonts w:hint="eastAsia" w:ascii="宋体" w:hAnsi="宋体" w:eastAsia="宋体" w:cs="Times New Roman"/>
                <w:highlight w:val="none"/>
                <w:lang w:val="en-US" w:eastAsia="zh-CN"/>
              </w:rPr>
              <w:t>审</w:t>
            </w:r>
            <w:r>
              <w:rPr>
                <w:rFonts w:hint="eastAsia" w:ascii="宋体" w:hAnsi="宋体" w:eastAsia="宋体" w:cs="Times New Roman"/>
                <w:highlight w:val="none"/>
              </w:rPr>
              <w:t>现场评</w:t>
            </w:r>
            <w:r>
              <w:rPr>
                <w:rFonts w:hint="eastAsia" w:ascii="宋体" w:hAnsi="宋体" w:eastAsia="宋体" w:cs="Times New Roman"/>
                <w:highlight w:val="none"/>
                <w:lang w:val="en-US" w:eastAsia="zh-CN"/>
              </w:rPr>
              <w:t>审</w:t>
            </w:r>
            <w:r>
              <w:rPr>
                <w:rFonts w:hint="eastAsia" w:ascii="宋体" w:hAnsi="宋体" w:eastAsia="宋体" w:cs="Times New Roman"/>
                <w:highlight w:val="none"/>
              </w:rPr>
              <w:t>委员会规定的时间内(30分钟内，以询标函发出时间为准)提供书面说明，必要时提交相关证明材料；</w:t>
            </w:r>
            <w:r>
              <w:rPr>
                <w:rFonts w:hint="eastAsia" w:ascii="宋体" w:hAnsi="宋体" w:eastAsia="宋体" w:cs="Times New Roman"/>
                <w:highlight w:val="none"/>
                <w:lang w:val="en-US" w:eastAsia="zh-CN"/>
              </w:rPr>
              <w:t>供应商</w:t>
            </w:r>
            <w:r>
              <w:rPr>
                <w:rFonts w:hint="eastAsia" w:ascii="宋体" w:hAnsi="宋体" w:eastAsia="宋体" w:cs="Times New Roman"/>
                <w:highlight w:val="none"/>
              </w:rPr>
              <w:t>不能证明其报价合理性的，评</w:t>
            </w:r>
            <w:r>
              <w:rPr>
                <w:rFonts w:hint="eastAsia" w:ascii="宋体" w:hAnsi="宋体" w:eastAsia="宋体" w:cs="Times New Roman"/>
                <w:highlight w:val="none"/>
                <w:lang w:val="en-US" w:eastAsia="zh-CN"/>
              </w:rPr>
              <w:t>审</w:t>
            </w:r>
            <w:r>
              <w:rPr>
                <w:rFonts w:hint="eastAsia" w:ascii="宋体" w:hAnsi="宋体" w:eastAsia="宋体" w:cs="Times New Roman"/>
                <w:highlight w:val="none"/>
              </w:rPr>
              <w:t>委员会应当将其作为无效投标处理。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7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highlight w:val="none"/>
              </w:rPr>
            </w:pPr>
            <w:r>
              <w:rPr>
                <w:rFonts w:ascii="Times New Roman" w:hAnsi="Times New Roman"/>
                <w:b/>
                <w:highlight w:val="none"/>
              </w:rPr>
              <w:t>条款号</w:t>
            </w:r>
            <w:r>
              <w:rPr>
                <w:rFonts w:hint="eastAsia" w:ascii="Times New Roman" w:hAnsi="Times New Roman"/>
                <w:b/>
                <w:highlight w:val="none"/>
              </w:rPr>
              <w:t>及名称</w:t>
            </w: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highlight w:val="none"/>
              </w:rPr>
            </w:pPr>
            <w:r>
              <w:rPr>
                <w:rFonts w:hint="eastAsia" w:ascii="Times New Roman" w:hAnsi="Times New Roman"/>
                <w:b/>
                <w:highlight w:val="none"/>
              </w:rPr>
              <w:t>条款</w:t>
            </w:r>
            <w:r>
              <w:rPr>
                <w:rFonts w:ascii="Times New Roman" w:hAnsi="Times New Roman"/>
                <w:b/>
                <w:highlight w:val="none"/>
              </w:rPr>
              <w:t>内容</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highlight w:val="none"/>
              </w:rPr>
            </w:pPr>
            <w:r>
              <w:rPr>
                <w:rFonts w:hint="eastAsia" w:ascii="Times New Roman" w:hAnsi="Times New Roman"/>
                <w:b/>
                <w:highlight w:val="none"/>
              </w:rPr>
              <w:t>编列</w:t>
            </w:r>
            <w:r>
              <w:rPr>
                <w:rFonts w:ascii="Times New Roman" w:hAnsi="Times New Roman"/>
                <w:b/>
                <w:highlight w:val="none"/>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7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highlight w:val="none"/>
              </w:rPr>
            </w:pPr>
            <w:r>
              <w:rPr>
                <w:rFonts w:hint="eastAsia" w:ascii="Times New Roman" w:hAnsi="Times New Roman"/>
                <w:highlight w:val="none"/>
              </w:rPr>
              <w:t>3. 6</w:t>
            </w:r>
          </w:p>
        </w:tc>
        <w:tc>
          <w:tcPr>
            <w:tcW w:w="2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highlight w:val="none"/>
              </w:rPr>
            </w:pPr>
            <w:r>
              <w:rPr>
                <w:rFonts w:hint="eastAsia" w:ascii="宋体" w:hAnsi="宋体" w:eastAsia="宋体"/>
                <w:highlight w:val="none"/>
              </w:rPr>
              <w:t>供应商并列时确定供应商优先顺序的规则</w:t>
            </w:r>
          </w:p>
        </w:tc>
        <w:tc>
          <w:tcPr>
            <w:tcW w:w="45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eastAsia="宋体"/>
                <w:highlight w:val="none"/>
              </w:rPr>
            </w:pPr>
            <w:r>
              <w:rPr>
                <w:rFonts w:hint="eastAsia" w:ascii="宋体" w:hAnsi="宋体" w:eastAsia="宋体"/>
                <w:highlight w:val="none"/>
              </w:rPr>
              <w:t>□由评审小组投票决定</w:t>
            </w:r>
          </w:p>
          <w:p>
            <w:pPr>
              <w:adjustRightInd w:val="0"/>
              <w:snapToGrid w:val="0"/>
              <w:jc w:val="left"/>
              <w:rPr>
                <w:rFonts w:ascii="宋体" w:hAnsi="宋体" w:eastAsia="宋体"/>
                <w:highlight w:val="none"/>
              </w:rPr>
            </w:pPr>
            <w:r>
              <w:rPr>
                <w:rFonts w:hint="eastAsia" w:ascii="宋体" w:hAnsi="宋体" w:eastAsia="宋体"/>
                <w:highlight w:val="none"/>
              </w:rPr>
              <w:sym w:font="Wingdings 2" w:char="0052"/>
            </w:r>
            <w:r>
              <w:rPr>
                <w:rFonts w:hint="eastAsia" w:ascii="宋体" w:hAnsi="宋体" w:eastAsia="宋体"/>
                <w:highlight w:val="none"/>
              </w:rPr>
              <w:t>由评审小组抽签决定</w:t>
            </w:r>
          </w:p>
          <w:p>
            <w:pPr>
              <w:adjustRightInd w:val="0"/>
              <w:snapToGrid w:val="0"/>
              <w:rPr>
                <w:rFonts w:ascii="宋体" w:hAnsi="宋体" w:eastAsia="宋体"/>
                <w:highlight w:val="none"/>
              </w:rPr>
            </w:pPr>
            <w:r>
              <w:rPr>
                <w:rFonts w:hint="eastAsia" w:ascii="宋体" w:hAnsi="宋体" w:eastAsia="宋体"/>
                <w:highlight w:val="none"/>
              </w:rPr>
              <w:sym w:font="Wingdings 2" w:char="00A3"/>
            </w:r>
            <w:r>
              <w:rPr>
                <w:rFonts w:hint="eastAsia" w:ascii="宋体" w:hAnsi="宋体" w:eastAsia="宋体"/>
                <w:highlight w:val="none"/>
              </w:rPr>
              <w:t>其他方法：</w:t>
            </w:r>
            <w:r>
              <w:rPr>
                <w:rFonts w:hint="eastAsia" w:ascii="宋体" w:hAnsi="宋体" w:eastAsia="宋体"/>
                <w:highlight w:val="none"/>
                <w:u w:val="single"/>
              </w:rPr>
              <w:t xml:space="preserve">                           </w:t>
            </w:r>
          </w:p>
        </w:tc>
      </w:tr>
    </w:tbl>
    <w:p>
      <w:pPr>
        <w:adjustRightInd w:val="0"/>
        <w:snapToGrid w:val="0"/>
        <w:jc w:val="both"/>
        <w:rPr>
          <w:rFonts w:hint="eastAsia" w:ascii="Times New Roman" w:hAnsi="Times New Roman" w:eastAsia="宋体" w:cs="Times New Roman"/>
          <w:highlight w:val="none"/>
        </w:rPr>
      </w:pPr>
      <w:r>
        <w:rPr>
          <w:rFonts w:hint="eastAsia" w:ascii="Times New Roman" w:hAnsi="Times New Roman" w:eastAsia="宋体" w:cs="Times New Roman"/>
          <w:highlight w:val="none"/>
        </w:rPr>
        <w:t>注：</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rPr>
        <w:t>、上述所有评审指标中涉及到相关证明材料均须在技术标中提供，未在技术标中提供的评委会可不予认可。</w:t>
      </w:r>
    </w:p>
    <w:p>
      <w:pPr>
        <w:adjustRightInd w:val="0"/>
        <w:snapToGrid w:val="0"/>
        <w:jc w:val="both"/>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rPr>
        <w:t>、“★”号参数须在</w:t>
      </w:r>
      <w:r>
        <w:rPr>
          <w:rFonts w:hint="eastAsia" w:ascii="Times New Roman" w:hAnsi="Times New Roman" w:eastAsia="宋体" w:cs="Times New Roman"/>
          <w:highlight w:val="none"/>
          <w:lang w:val="en-US" w:eastAsia="zh-CN"/>
        </w:rPr>
        <w:t>响应</w:t>
      </w:r>
      <w:r>
        <w:rPr>
          <w:rFonts w:hint="eastAsia" w:ascii="Times New Roman" w:hAnsi="Times New Roman" w:eastAsia="宋体" w:cs="Times New Roman"/>
          <w:highlight w:val="none"/>
        </w:rPr>
        <w:t>文件中提供证明材料，证明材料是指以下条款至少一项：</w:t>
      </w:r>
    </w:p>
    <w:p>
      <w:pPr>
        <w:adjustRightInd w:val="0"/>
        <w:snapToGrid w:val="0"/>
        <w:jc w:val="both"/>
        <w:rPr>
          <w:rFonts w:hint="eastAsia" w:ascii="Times New Roman" w:hAnsi="Times New Roman" w:eastAsia="宋体" w:cs="Times New Roman"/>
          <w:highlight w:val="none"/>
        </w:rPr>
      </w:pPr>
      <w:r>
        <w:rPr>
          <w:rFonts w:hint="eastAsia" w:ascii="Times New Roman" w:hAnsi="Times New Roman" w:eastAsia="宋体" w:cs="Times New Roman"/>
          <w:highlight w:val="none"/>
        </w:rPr>
        <w:t>①医疗器械产品注册登记表附件中的“产品标准：YZB————”；</w:t>
      </w:r>
    </w:p>
    <w:p>
      <w:pPr>
        <w:adjustRightInd w:val="0"/>
        <w:snapToGrid w:val="0"/>
        <w:jc w:val="both"/>
        <w:rPr>
          <w:rFonts w:hint="eastAsia" w:ascii="Times New Roman" w:hAnsi="Times New Roman" w:eastAsia="宋体" w:cs="Times New Roman"/>
          <w:highlight w:val="none"/>
        </w:rPr>
      </w:pPr>
      <w:r>
        <w:rPr>
          <w:rFonts w:hint="eastAsia" w:ascii="Times New Roman" w:hAnsi="Times New Roman" w:eastAsia="宋体" w:cs="Times New Roman"/>
          <w:highlight w:val="none"/>
        </w:rPr>
        <w:t>②产品使用说明书或技术白皮书（Data Sheet）；</w:t>
      </w:r>
    </w:p>
    <w:p>
      <w:pPr>
        <w:adjustRightInd w:val="0"/>
        <w:snapToGrid w:val="0"/>
        <w:jc w:val="both"/>
        <w:rPr>
          <w:rFonts w:hint="eastAsia" w:ascii="Times New Roman" w:hAnsi="Times New Roman" w:eastAsia="宋体" w:cs="Times New Roman"/>
          <w:highlight w:val="none"/>
        </w:rPr>
      </w:pPr>
      <w:r>
        <w:rPr>
          <w:rFonts w:hint="eastAsia" w:ascii="Times New Roman" w:hAnsi="Times New Roman" w:eastAsia="宋体" w:cs="Times New Roman"/>
          <w:highlight w:val="none"/>
        </w:rPr>
        <w:t>③法定检测机构出具的完整的产品注册检测报告；</w:t>
      </w:r>
    </w:p>
    <w:p>
      <w:pPr>
        <w:adjustRightInd w:val="0"/>
        <w:snapToGrid w:val="0"/>
        <w:jc w:val="both"/>
        <w:rPr>
          <w:rFonts w:hint="eastAsia" w:ascii="Times New Roman" w:hAnsi="Times New Roman" w:eastAsia="宋体" w:cs="Times New Roman"/>
          <w:highlight w:val="none"/>
        </w:rPr>
      </w:pPr>
      <w:r>
        <w:rPr>
          <w:rFonts w:hint="eastAsia" w:ascii="Times New Roman" w:hAnsi="Times New Roman" w:eastAsia="宋体" w:cs="Times New Roman"/>
          <w:highlight w:val="none"/>
        </w:rPr>
        <w:t>④宣传彩页（彩页须有可公开查询的渠道供查询&lt;例如网站网址等&gt;，否则不予认可）；</w:t>
      </w:r>
    </w:p>
    <w:p>
      <w:pPr>
        <w:adjustRightInd w:val="0"/>
        <w:snapToGrid w:val="0"/>
        <w:jc w:val="both"/>
        <w:rPr>
          <w:rFonts w:hint="eastAsia" w:ascii="Times New Roman" w:hAnsi="Times New Roman" w:eastAsia="宋体" w:cs="Times New Roman"/>
          <w:highlight w:val="none"/>
        </w:rPr>
      </w:pPr>
      <w:r>
        <w:rPr>
          <w:rFonts w:hint="eastAsia" w:ascii="Times New Roman" w:hAnsi="Times New Roman" w:eastAsia="宋体" w:cs="Times New Roman"/>
          <w:highlight w:val="none"/>
        </w:rPr>
        <w:t>⑤参数要求或评审办法中要求提供相关材料予以证明的，则提供相应材料即可。</w:t>
      </w:r>
    </w:p>
    <w:p>
      <w:pPr>
        <w:adjustRightInd w:val="0"/>
        <w:snapToGrid w:val="0"/>
        <w:jc w:val="both"/>
        <w:rPr>
          <w:rFonts w:hint="eastAsia" w:ascii="Times New Roman" w:hAnsi="Times New Roman" w:eastAsia="宋体" w:cs="Times New Roman"/>
          <w:highlight w:val="none"/>
        </w:rPr>
      </w:pPr>
      <w:r>
        <w:rPr>
          <w:rFonts w:hint="eastAsia" w:ascii="Times New Roman" w:hAnsi="Times New Roman" w:eastAsia="宋体" w:cs="Times New Roman"/>
          <w:highlight w:val="none"/>
        </w:rPr>
        <w:t>未提供或出现对相同技术指标的说明不一致,视为无效技术支持资料，评标委员会可认定为不满足“★”参数。</w:t>
      </w:r>
    </w:p>
    <w:p>
      <w:pPr>
        <w:adjustRightInd w:val="0"/>
        <w:snapToGrid w:val="0"/>
        <w:jc w:val="both"/>
        <w:rPr>
          <w:rFonts w:hint="eastAsia" w:ascii="Times New Roman" w:hAnsi="Times New Roman" w:eastAsia="宋体" w:cs="Times New Roman"/>
          <w:highlight w:val="none"/>
        </w:rPr>
      </w:pPr>
      <w:r>
        <w:rPr>
          <w:rFonts w:hint="eastAsia" w:ascii="Times New Roman" w:hAnsi="Times New Roman" w:eastAsia="宋体" w:cs="Times New Roman"/>
          <w:highlight w:val="none"/>
        </w:rPr>
        <w:t>（“技术参数及要求”中已明确证明材料要求的，以“技术参数及要求”中的要求为准，否则视为负偏离；为便于评审，建议投标人对证明材料中的关键参数进行标注）。</w:t>
      </w:r>
    </w:p>
    <w:p>
      <w:pPr>
        <w:pStyle w:val="3"/>
        <w:rPr>
          <w:rFonts w:ascii="Times New Roman" w:hAnsi="Times New Roman"/>
          <w:color w:val="auto"/>
          <w:highlight w:val="none"/>
        </w:rPr>
      </w:pPr>
    </w:p>
    <w:p>
      <w:pPr>
        <w:widowControl/>
        <w:jc w:val="left"/>
        <w:rPr>
          <w:rFonts w:ascii="Times New Roman" w:hAnsi="Times New Roman" w:eastAsia="黑体"/>
          <w:b/>
          <w:color w:val="auto"/>
          <w:sz w:val="32"/>
          <w:szCs w:val="20"/>
          <w:highlight w:val="none"/>
        </w:rPr>
      </w:pPr>
    </w:p>
    <w:p>
      <w:pPr>
        <w:pStyle w:val="3"/>
        <w:rPr>
          <w:rFonts w:ascii="Times New Roman" w:hAnsi="Times New Roman"/>
          <w:color w:val="000000"/>
          <w:highlight w:val="none"/>
        </w:rPr>
      </w:pPr>
      <w:bookmarkStart w:id="301" w:name="_Toc32322"/>
      <w:r>
        <w:rPr>
          <w:rFonts w:ascii="Times New Roman" w:hAnsi="Times New Roman"/>
          <w:color w:val="auto"/>
          <w:highlight w:val="none"/>
        </w:rPr>
        <w:br w:type="page"/>
      </w:r>
      <w:bookmarkEnd w:id="299"/>
      <w:bookmarkEnd w:id="301"/>
      <w:bookmarkStart w:id="302" w:name="_Toc3519"/>
      <w:r>
        <w:rPr>
          <w:rFonts w:ascii="Times New Roman" w:hAnsi="Times New Roman"/>
          <w:color w:val="000000"/>
          <w:highlight w:val="none"/>
        </w:rPr>
        <w:t xml:space="preserve">1. </w:t>
      </w:r>
      <w:r>
        <w:rPr>
          <w:rFonts w:hint="eastAsia" w:ascii="Times New Roman" w:hAnsi="Times New Roman"/>
          <w:color w:val="000000"/>
          <w:highlight w:val="none"/>
        </w:rPr>
        <w:t>评审</w:t>
      </w:r>
      <w:r>
        <w:rPr>
          <w:rFonts w:ascii="Times New Roman" w:hAnsi="Times New Roman"/>
          <w:color w:val="000000"/>
          <w:highlight w:val="none"/>
        </w:rPr>
        <w:t>方法</w:t>
      </w:r>
      <w:r>
        <w:rPr>
          <w:rFonts w:hint="eastAsia" w:ascii="Times New Roman" w:hAnsi="Times New Roman"/>
          <w:color w:val="000000"/>
          <w:highlight w:val="none"/>
        </w:rPr>
        <w:t>（综合评分法）</w:t>
      </w:r>
      <w:bookmarkEnd w:id="302"/>
    </w:p>
    <w:p>
      <w:pPr>
        <w:spacing w:line="400" w:lineRule="exact"/>
        <w:ind w:firstLine="420" w:firstLineChars="200"/>
        <w:rPr>
          <w:rFonts w:ascii="Times New Roman" w:hAnsi="Times New Roman"/>
          <w:highlight w:val="none"/>
        </w:rPr>
      </w:pPr>
      <w:r>
        <w:rPr>
          <w:rFonts w:ascii="Times New Roman" w:hAnsi="Times New Roman"/>
          <w:color w:val="000000"/>
          <w:highlight w:val="none"/>
        </w:rPr>
        <w:t>本次</w:t>
      </w:r>
      <w:r>
        <w:rPr>
          <w:rFonts w:hint="eastAsia" w:ascii="Times New Roman" w:hAnsi="Times New Roman"/>
          <w:color w:val="000000"/>
          <w:highlight w:val="none"/>
        </w:rPr>
        <w:t>评审</w:t>
      </w:r>
      <w:r>
        <w:rPr>
          <w:rFonts w:ascii="Times New Roman" w:hAnsi="Times New Roman"/>
          <w:color w:val="000000"/>
          <w:highlight w:val="none"/>
        </w:rPr>
        <w:t>采用</w:t>
      </w:r>
      <w:r>
        <w:rPr>
          <w:rFonts w:hint="eastAsia" w:ascii="Times New Roman" w:hAnsi="Times New Roman"/>
          <w:color w:val="000000"/>
          <w:highlight w:val="none"/>
        </w:rPr>
        <w:t>综合评分法</w:t>
      </w:r>
      <w:r>
        <w:rPr>
          <w:rFonts w:ascii="Times New Roman" w:hAnsi="Times New Roman"/>
          <w:color w:val="000000"/>
          <w:highlight w:val="none"/>
        </w:rPr>
        <w:t>。</w:t>
      </w:r>
      <w:r>
        <w:rPr>
          <w:rFonts w:hint="eastAsia" w:ascii="Times New Roman" w:hAnsi="Times New Roman"/>
          <w:color w:val="000000"/>
          <w:highlight w:val="none"/>
        </w:rPr>
        <w:t>评审小组</w:t>
      </w:r>
      <w:r>
        <w:rPr>
          <w:rFonts w:ascii="Times New Roman" w:hAnsi="Times New Roman"/>
          <w:color w:val="000000"/>
          <w:highlight w:val="none"/>
        </w:rPr>
        <w:t>对满足</w:t>
      </w:r>
      <w:r>
        <w:rPr>
          <w:rFonts w:hint="eastAsia" w:ascii="Times New Roman" w:hAnsi="Times New Roman"/>
          <w:color w:val="000000"/>
          <w:highlight w:val="none"/>
        </w:rPr>
        <w:t>采购文件</w:t>
      </w:r>
      <w:r>
        <w:rPr>
          <w:rFonts w:ascii="Times New Roman" w:hAnsi="Times New Roman"/>
          <w:color w:val="000000"/>
          <w:highlight w:val="none"/>
        </w:rPr>
        <w:t>实质性要求的</w:t>
      </w:r>
      <w:r>
        <w:rPr>
          <w:rFonts w:hint="eastAsia" w:ascii="Times New Roman" w:hAnsi="Times New Roman"/>
          <w:color w:val="000000"/>
          <w:highlight w:val="none"/>
        </w:rPr>
        <w:t>响应文件</w:t>
      </w:r>
      <w:r>
        <w:rPr>
          <w:rFonts w:ascii="Times New Roman" w:hAnsi="Times New Roman"/>
          <w:color w:val="000000"/>
          <w:highlight w:val="none"/>
        </w:rPr>
        <w:t>，按照本章第</w:t>
      </w:r>
      <w:r>
        <w:rPr>
          <w:rFonts w:hint="eastAsia" w:ascii="Times New Roman" w:hAnsi="Times New Roman"/>
          <w:highlight w:val="none"/>
        </w:rPr>
        <w:t>3条</w:t>
      </w:r>
      <w:r>
        <w:rPr>
          <w:rFonts w:ascii="Times New Roman" w:hAnsi="Times New Roman"/>
          <w:color w:val="000000"/>
          <w:highlight w:val="none"/>
        </w:rPr>
        <w:t>规定的评分标准进行打分，并按得分由高到低顺序推荐</w:t>
      </w:r>
      <w:r>
        <w:rPr>
          <w:rFonts w:hint="eastAsia" w:ascii="Times New Roman" w:hAnsi="Times New Roman"/>
          <w:color w:val="000000"/>
          <w:highlight w:val="none"/>
        </w:rPr>
        <w:t>候选成交供应商</w:t>
      </w:r>
      <w:r>
        <w:rPr>
          <w:rFonts w:ascii="Times New Roman" w:hAnsi="Times New Roman"/>
          <w:color w:val="000000"/>
          <w:highlight w:val="none"/>
        </w:rPr>
        <w:t>。</w:t>
      </w:r>
    </w:p>
    <w:p>
      <w:pPr>
        <w:spacing w:line="400" w:lineRule="exact"/>
        <w:ind w:firstLine="420" w:firstLineChars="200"/>
        <w:rPr>
          <w:rFonts w:ascii="Times New Roman" w:hAnsi="Times New Roman"/>
          <w:color w:val="auto"/>
          <w:highlight w:val="none"/>
        </w:rPr>
      </w:pPr>
    </w:p>
    <w:p>
      <w:pPr>
        <w:pStyle w:val="3"/>
        <w:rPr>
          <w:rFonts w:ascii="Times New Roman" w:hAnsi="Times New Roman"/>
          <w:color w:val="auto"/>
          <w:highlight w:val="none"/>
        </w:rPr>
      </w:pPr>
      <w:bookmarkStart w:id="303" w:name="_Toc501460714"/>
      <w:bookmarkStart w:id="304" w:name="_Toc16254"/>
      <w:r>
        <w:rPr>
          <w:rFonts w:ascii="Times New Roman" w:hAnsi="Times New Roman"/>
          <w:color w:val="auto"/>
          <w:highlight w:val="none"/>
        </w:rPr>
        <w:t xml:space="preserve">2. </w:t>
      </w:r>
      <w:r>
        <w:rPr>
          <w:rFonts w:hint="eastAsia" w:ascii="Times New Roman" w:hAnsi="Times New Roman"/>
          <w:color w:val="auto"/>
          <w:highlight w:val="none"/>
        </w:rPr>
        <w:t>初步</w:t>
      </w:r>
      <w:r>
        <w:rPr>
          <w:rFonts w:ascii="Times New Roman" w:hAnsi="Times New Roman"/>
          <w:color w:val="auto"/>
          <w:highlight w:val="none"/>
        </w:rPr>
        <w:t>评审标准</w:t>
      </w:r>
      <w:bookmarkEnd w:id="303"/>
      <w:r>
        <w:rPr>
          <w:rFonts w:hint="eastAsia" w:ascii="Times New Roman" w:hAnsi="Times New Roman"/>
          <w:color w:val="auto"/>
          <w:highlight w:val="none"/>
        </w:rPr>
        <w:t>和程序</w:t>
      </w:r>
      <w:bookmarkEnd w:id="304"/>
    </w:p>
    <w:p>
      <w:pPr>
        <w:pStyle w:val="4"/>
        <w:spacing w:line="240" w:lineRule="auto"/>
        <w:ind w:firstLine="137"/>
        <w:rPr>
          <w:rFonts w:ascii="Times New Roman" w:hAnsi="Times New Roman"/>
          <w:color w:val="auto"/>
          <w:highlight w:val="none"/>
        </w:rPr>
      </w:pPr>
      <w:bookmarkStart w:id="305" w:name="_Toc26318"/>
      <w:bookmarkStart w:id="306" w:name="_Toc501460715"/>
      <w:r>
        <w:rPr>
          <w:rFonts w:ascii="Times New Roman" w:hAnsi="Times New Roman"/>
          <w:color w:val="auto"/>
          <w:highlight w:val="none"/>
        </w:rPr>
        <w:t>2.1 初步评审标准</w:t>
      </w:r>
      <w:bookmarkEnd w:id="305"/>
      <w:bookmarkEnd w:id="306"/>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2.1.1 形式评审标准：见</w:t>
      </w:r>
      <w:r>
        <w:rPr>
          <w:rFonts w:hint="eastAsia" w:ascii="黑体" w:hAnsi="黑体" w:eastAsia="黑体" w:cs="黑体"/>
          <w:iCs/>
          <w:color w:val="auto"/>
          <w:highlight w:val="none"/>
        </w:rPr>
        <w:t>评审办法前附表</w:t>
      </w:r>
      <w:r>
        <w:rPr>
          <w:rFonts w:ascii="Times New Roman" w:hAnsi="Times New Roman"/>
          <w:color w:val="auto"/>
          <w:highlight w:val="none"/>
        </w:rPr>
        <w:t>。</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2.1.2 资格评审标准：见</w:t>
      </w:r>
      <w:r>
        <w:rPr>
          <w:rFonts w:hint="eastAsia" w:ascii="黑体" w:hAnsi="黑体" w:eastAsia="黑体" w:cs="黑体"/>
          <w:iCs/>
          <w:color w:val="auto"/>
          <w:highlight w:val="none"/>
        </w:rPr>
        <w:t>评审办法前附表</w:t>
      </w:r>
      <w:r>
        <w:rPr>
          <w:rFonts w:ascii="Times New Roman" w:hAnsi="Times New Roman"/>
          <w:color w:val="auto"/>
          <w:highlight w:val="none"/>
        </w:rPr>
        <w:t>。</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2.1.3 响应性评审标准：见</w:t>
      </w:r>
      <w:r>
        <w:rPr>
          <w:rFonts w:hint="eastAsia" w:ascii="黑体" w:hAnsi="黑体" w:eastAsia="黑体" w:cs="黑体"/>
          <w:iCs/>
          <w:color w:val="auto"/>
          <w:highlight w:val="none"/>
        </w:rPr>
        <w:t>评审办法前附表</w:t>
      </w:r>
      <w:r>
        <w:rPr>
          <w:rFonts w:ascii="Times New Roman" w:hAnsi="Times New Roman"/>
          <w:color w:val="auto"/>
          <w:highlight w:val="none"/>
        </w:rPr>
        <w:t>。</w:t>
      </w:r>
    </w:p>
    <w:p>
      <w:pPr>
        <w:pStyle w:val="4"/>
        <w:spacing w:line="240" w:lineRule="auto"/>
        <w:ind w:firstLine="137"/>
        <w:rPr>
          <w:rFonts w:ascii="Times New Roman" w:hAnsi="Times New Roman"/>
          <w:color w:val="auto"/>
          <w:highlight w:val="none"/>
        </w:rPr>
      </w:pPr>
      <w:bookmarkStart w:id="307" w:name="_Toc25504"/>
      <w:bookmarkStart w:id="308" w:name="_Toc501460716"/>
      <w:r>
        <w:rPr>
          <w:rFonts w:ascii="Times New Roman" w:hAnsi="Times New Roman"/>
          <w:color w:val="auto"/>
          <w:highlight w:val="none"/>
        </w:rPr>
        <w:t xml:space="preserve">2.2 </w:t>
      </w:r>
      <w:r>
        <w:rPr>
          <w:rFonts w:hint="eastAsia" w:ascii="Times New Roman" w:hAnsi="Times New Roman"/>
          <w:color w:val="auto"/>
          <w:highlight w:val="none"/>
        </w:rPr>
        <w:t>初步评审程序</w:t>
      </w:r>
      <w:bookmarkEnd w:id="307"/>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 xml:space="preserve">.1 </w:t>
      </w:r>
      <w:r>
        <w:rPr>
          <w:rFonts w:hint="eastAsia" w:ascii="Times New Roman" w:hAnsi="Times New Roman"/>
          <w:color w:val="auto"/>
          <w:highlight w:val="none"/>
        </w:rPr>
        <w:t>评审小组</w:t>
      </w:r>
      <w:r>
        <w:rPr>
          <w:rFonts w:ascii="Times New Roman" w:hAnsi="Times New Roman"/>
          <w:color w:val="auto"/>
          <w:highlight w:val="none"/>
        </w:rPr>
        <w:t>依据本章第2.1款规定的标准</w:t>
      </w:r>
      <w:r>
        <w:rPr>
          <w:rFonts w:hint="eastAsia" w:ascii="Times New Roman" w:hAnsi="Times New Roman"/>
          <w:color w:val="auto"/>
          <w:highlight w:val="none"/>
        </w:rPr>
        <w:t>对供应商递交的响应文件进行初步评审，判断响应文件的形式是否符合要求、供应商是否符合资格条件、响应文件是否实质性响应采购文件的要求。只有以上评审合格的响应文件才可通过初步评审。</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2.2.2 除评审办法前附表另有规定外，评审价格为供应商在响应函中填报的大写含税价格。</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评审价格若超过最高限价（如有），其响应文件将被视为无效。</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spacing w:line="400" w:lineRule="exact"/>
        <w:ind w:firstLine="420" w:firstLineChars="200"/>
        <w:rPr>
          <w:rFonts w:hint="eastAsia" w:ascii="Times New Roman" w:hAnsi="Times New Roman"/>
          <w:color w:val="auto"/>
          <w:highlight w:val="none"/>
        </w:rPr>
      </w:pPr>
      <w:r>
        <w:rPr>
          <w:rFonts w:ascii="Times New Roman" w:hAnsi="Times New Roman"/>
          <w:color w:val="auto"/>
          <w:highlight w:val="none"/>
        </w:rPr>
        <w:t>响应文件有算术错误及其他错误的</w:t>
      </w:r>
      <w:r>
        <w:rPr>
          <w:rFonts w:hint="eastAsia" w:ascii="Times New Roman" w:hAnsi="Times New Roman"/>
          <w:color w:val="auto"/>
          <w:highlight w:val="none"/>
        </w:rPr>
        <w:t>，</w:t>
      </w:r>
      <w:r>
        <w:rPr>
          <w:rFonts w:ascii="Times New Roman" w:hAnsi="Times New Roman"/>
          <w:color w:val="auto"/>
          <w:highlight w:val="none"/>
        </w:rPr>
        <w:t>评审小组按以下原则要求供应商对响应报价进行修正</w:t>
      </w:r>
      <w:r>
        <w:rPr>
          <w:rFonts w:hint="eastAsia" w:ascii="Times New Roman" w:hAnsi="Times New Roman"/>
          <w:color w:val="auto"/>
          <w:highlight w:val="none"/>
        </w:rPr>
        <w:t>，</w:t>
      </w:r>
      <w:r>
        <w:rPr>
          <w:rFonts w:ascii="Times New Roman" w:hAnsi="Times New Roman"/>
          <w:color w:val="auto"/>
          <w:highlight w:val="none"/>
        </w:rPr>
        <w:t>并要求供应商书面澄清确认</w:t>
      </w:r>
      <w:r>
        <w:rPr>
          <w:rFonts w:hint="eastAsia" w:ascii="Times New Roman" w:hAnsi="Times New Roman"/>
          <w:color w:val="auto"/>
          <w:highlight w:val="none"/>
        </w:rPr>
        <w:t>。供应商拒不澄清确认的，其响应文件将被视为无效：</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（1）大写金额与小写金额不一致的，以大写金额为准；</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（2）总价金额与单价金额不一致的以单价金额为准，但单价金额小数点有明显错误的除外；</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（3）报价表合计报价与分项报价的合计不一致的，以各分项报价的合计累计数为准；</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（4）如果分项报价中存在缺漏项，且缺漏项内容不属于实质性偏差的，则视为缺漏项内容的价格已包含在其他分项报价之中。</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响应报价的算术错误修正不改变评审依据的响应总报价</w:t>
      </w:r>
      <w:r>
        <w:rPr>
          <w:rFonts w:hint="eastAsia" w:ascii="Times New Roman" w:hAnsi="Times New Roman"/>
          <w:color w:val="auto"/>
          <w:highlight w:val="none"/>
        </w:rPr>
        <w:t>。</w:t>
      </w:r>
      <w:r>
        <w:rPr>
          <w:rFonts w:ascii="Times New Roman" w:hAnsi="Times New Roman"/>
          <w:color w:val="auto"/>
          <w:highlight w:val="none"/>
        </w:rPr>
        <w:t>当修正后的总报价高于原响应报价时</w:t>
      </w:r>
      <w:r>
        <w:rPr>
          <w:rFonts w:hint="eastAsia" w:ascii="Times New Roman" w:hAnsi="Times New Roman"/>
          <w:color w:val="auto"/>
          <w:highlight w:val="none"/>
        </w:rPr>
        <w:t>，</w:t>
      </w:r>
      <w:r>
        <w:rPr>
          <w:rFonts w:ascii="Times New Roman" w:hAnsi="Times New Roman"/>
          <w:color w:val="auto"/>
          <w:highlight w:val="none"/>
        </w:rPr>
        <w:t>视同供应商响应报价错误产生少漏计费用</w:t>
      </w:r>
      <w:r>
        <w:rPr>
          <w:rFonts w:hint="eastAsia" w:ascii="Times New Roman" w:hAnsi="Times New Roman"/>
          <w:color w:val="auto"/>
          <w:highlight w:val="none"/>
        </w:rPr>
        <w:t>，签订合同时由供应商承担，如评审小组认为供应商无法承受</w:t>
      </w:r>
      <w:r>
        <w:rPr>
          <w:rFonts w:ascii="Times New Roman" w:hAnsi="Times New Roman"/>
          <w:color w:val="auto"/>
          <w:highlight w:val="none"/>
        </w:rPr>
        <w:t>少漏计费用</w:t>
      </w:r>
      <w:r>
        <w:rPr>
          <w:rFonts w:hint="eastAsia" w:ascii="Times New Roman" w:hAnsi="Times New Roman"/>
          <w:color w:val="auto"/>
          <w:highlight w:val="none"/>
        </w:rPr>
        <w:t>，</w:t>
      </w:r>
      <w:r>
        <w:rPr>
          <w:rFonts w:ascii="Times New Roman" w:hAnsi="Times New Roman"/>
          <w:color w:val="auto"/>
          <w:highlight w:val="none"/>
        </w:rPr>
        <w:t>可以将响应报价作为异常低价处理</w:t>
      </w:r>
      <w:r>
        <w:rPr>
          <w:rFonts w:hint="eastAsia" w:ascii="Times New Roman" w:hAnsi="Times New Roman"/>
          <w:color w:val="auto"/>
          <w:highlight w:val="none"/>
        </w:rPr>
        <w:t>；</w:t>
      </w:r>
      <w:r>
        <w:rPr>
          <w:rFonts w:ascii="Times New Roman" w:hAnsi="Times New Roman"/>
          <w:color w:val="auto"/>
          <w:highlight w:val="none"/>
        </w:rPr>
        <w:t>当修正后的总报价低于原响应报价时</w:t>
      </w:r>
      <w:r>
        <w:rPr>
          <w:rFonts w:hint="eastAsia" w:ascii="Times New Roman" w:hAnsi="Times New Roman"/>
          <w:color w:val="auto"/>
          <w:highlight w:val="none"/>
        </w:rPr>
        <w:t>，</w:t>
      </w:r>
      <w:r>
        <w:rPr>
          <w:rFonts w:ascii="Times New Roman" w:hAnsi="Times New Roman"/>
          <w:color w:val="auto"/>
          <w:highlight w:val="none"/>
        </w:rPr>
        <w:t>签订合同时以修正后的报价为准</w:t>
      </w:r>
      <w:r>
        <w:rPr>
          <w:rFonts w:hint="eastAsia" w:ascii="Times New Roman" w:hAnsi="Times New Roman"/>
          <w:color w:val="auto"/>
          <w:highlight w:val="none"/>
        </w:rPr>
        <w:t>。</w:t>
      </w:r>
    </w:p>
    <w:bookmarkEnd w:id="308"/>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2.2.4供应商</w:t>
      </w:r>
      <w:r>
        <w:rPr>
          <w:rFonts w:ascii="Times New Roman" w:hAnsi="Times New Roman"/>
          <w:color w:val="auto"/>
          <w:highlight w:val="none"/>
        </w:rPr>
        <w:t>有串通、弄虚作假、行贿等违法行为</w:t>
      </w:r>
      <w:r>
        <w:rPr>
          <w:rFonts w:hint="eastAsia" w:ascii="Times New Roman" w:hAnsi="Times New Roman"/>
          <w:color w:val="auto"/>
          <w:highlight w:val="none"/>
        </w:rPr>
        <w:t>的，其响应文件将被视为无效。</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2.2.5特殊情形处理</w:t>
      </w:r>
    </w:p>
    <w:p>
      <w:pPr>
        <w:spacing w:line="400" w:lineRule="exact"/>
        <w:ind w:firstLine="420" w:firstLineChars="200"/>
        <w:rPr>
          <w:rFonts w:hint="eastAsia" w:ascii="Times New Roman" w:hAnsi="Times New Roman"/>
          <w:color w:val="auto"/>
          <w:highlight w:val="none"/>
        </w:rPr>
      </w:pPr>
      <w:r>
        <w:rPr>
          <w:rFonts w:ascii="Times New Roman" w:hAnsi="Times New Roman"/>
          <w:color w:val="auto"/>
          <w:highlight w:val="none"/>
        </w:rPr>
        <w:t>初步评审后</w:t>
      </w:r>
      <w:r>
        <w:rPr>
          <w:rFonts w:hint="eastAsia" w:ascii="Times New Roman" w:hAnsi="Times New Roman"/>
          <w:color w:val="auto"/>
          <w:highlight w:val="none"/>
        </w:rPr>
        <w:t>，</w:t>
      </w:r>
      <w:r>
        <w:rPr>
          <w:rFonts w:ascii="Times New Roman" w:hAnsi="Times New Roman"/>
          <w:color w:val="auto"/>
          <w:highlight w:val="none"/>
        </w:rPr>
        <w:t>如评审小组认为所有响应文件均无效</w:t>
      </w:r>
      <w:r>
        <w:rPr>
          <w:rFonts w:hint="eastAsia" w:ascii="Times New Roman" w:hAnsi="Times New Roman"/>
          <w:color w:val="auto"/>
          <w:highlight w:val="none"/>
        </w:rPr>
        <w:t>，</w:t>
      </w:r>
      <w:r>
        <w:rPr>
          <w:rFonts w:ascii="Times New Roman" w:hAnsi="Times New Roman"/>
          <w:color w:val="auto"/>
          <w:highlight w:val="none"/>
        </w:rPr>
        <w:t>或者所有响应报价竞争性不足</w:t>
      </w:r>
      <w:r>
        <w:rPr>
          <w:rFonts w:hint="eastAsia" w:ascii="Times New Roman" w:hAnsi="Times New Roman"/>
          <w:color w:val="auto"/>
          <w:highlight w:val="none"/>
        </w:rPr>
        <w:t>，</w:t>
      </w:r>
      <w:r>
        <w:rPr>
          <w:rFonts w:ascii="Times New Roman" w:hAnsi="Times New Roman"/>
          <w:color w:val="auto"/>
          <w:highlight w:val="none"/>
        </w:rPr>
        <w:t>高于市场预期价格</w:t>
      </w:r>
      <w:r>
        <w:rPr>
          <w:rFonts w:hint="eastAsia" w:ascii="Times New Roman" w:hAnsi="Times New Roman"/>
          <w:color w:val="auto"/>
          <w:highlight w:val="none"/>
        </w:rPr>
        <w:t>，</w:t>
      </w:r>
      <w:r>
        <w:rPr>
          <w:rFonts w:ascii="Times New Roman" w:hAnsi="Times New Roman"/>
          <w:color w:val="auto"/>
          <w:highlight w:val="none"/>
        </w:rPr>
        <w:t>评审小组应当终止评审</w:t>
      </w:r>
      <w:r>
        <w:rPr>
          <w:rFonts w:hint="eastAsia" w:ascii="Times New Roman" w:hAnsi="Times New Roman"/>
          <w:color w:val="auto"/>
          <w:highlight w:val="none"/>
        </w:rPr>
        <w:t>，</w:t>
      </w:r>
      <w:r>
        <w:rPr>
          <w:rFonts w:ascii="Times New Roman" w:hAnsi="Times New Roman"/>
          <w:color w:val="auto"/>
          <w:highlight w:val="none"/>
        </w:rPr>
        <w:t>获经采购人同意</w:t>
      </w:r>
      <w:r>
        <w:rPr>
          <w:rFonts w:hint="eastAsia" w:ascii="Times New Roman" w:hAnsi="Times New Roman"/>
          <w:color w:val="auto"/>
          <w:highlight w:val="none"/>
        </w:rPr>
        <w:t>，</w:t>
      </w:r>
      <w:r>
        <w:rPr>
          <w:rFonts w:ascii="Times New Roman" w:hAnsi="Times New Roman"/>
          <w:color w:val="auto"/>
          <w:highlight w:val="none"/>
        </w:rPr>
        <w:t>直接转换选择其他采购方式</w:t>
      </w:r>
      <w:r>
        <w:rPr>
          <w:rFonts w:hint="eastAsia" w:ascii="Times New Roman" w:hAnsi="Times New Roman"/>
          <w:color w:val="auto"/>
          <w:highlight w:val="none"/>
        </w:rPr>
        <w:t>，</w:t>
      </w:r>
      <w:r>
        <w:rPr>
          <w:rFonts w:ascii="Times New Roman" w:hAnsi="Times New Roman"/>
          <w:color w:val="auto"/>
          <w:highlight w:val="none"/>
        </w:rPr>
        <w:t>与原供应商共同完成后续采购程序</w:t>
      </w:r>
      <w:r>
        <w:rPr>
          <w:rFonts w:hint="eastAsia" w:ascii="Times New Roman" w:hAnsi="Times New Roman"/>
          <w:color w:val="auto"/>
          <w:highlight w:val="none"/>
        </w:rPr>
        <w:t>。</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选择直接转换采购方式采购的</w:t>
      </w:r>
      <w:r>
        <w:rPr>
          <w:rFonts w:hint="eastAsia" w:ascii="Times New Roman" w:hAnsi="Times New Roman"/>
          <w:color w:val="auto"/>
          <w:highlight w:val="none"/>
        </w:rPr>
        <w:t>，</w:t>
      </w:r>
      <w:r>
        <w:rPr>
          <w:rFonts w:ascii="Times New Roman" w:hAnsi="Times New Roman"/>
          <w:color w:val="auto"/>
          <w:highlight w:val="none"/>
        </w:rPr>
        <w:t>评审小组按照本章第</w:t>
      </w:r>
      <w:r>
        <w:rPr>
          <w:rFonts w:hint="eastAsia" w:ascii="Times New Roman" w:hAnsi="Times New Roman"/>
          <w:color w:val="auto"/>
          <w:highlight w:val="none"/>
        </w:rPr>
        <w:t>5条“直接转换采购方式评审程序”重新评审。除了采购人与供应商双方提出修改补充兵接受新的条件和要求外，原采购文件与原响应文件对采购人和供应商仍然具有相应约束力。</w:t>
      </w:r>
    </w:p>
    <w:p>
      <w:pPr>
        <w:pStyle w:val="3"/>
        <w:rPr>
          <w:rFonts w:hint="eastAsia" w:ascii="Times New Roman" w:hAnsi="Times New Roman"/>
          <w:color w:val="000000"/>
          <w:highlight w:val="none"/>
        </w:rPr>
      </w:pPr>
      <w:bookmarkStart w:id="309" w:name="_Toc352691538"/>
      <w:bookmarkEnd w:id="309"/>
      <w:bookmarkStart w:id="310" w:name="_Toc369531582"/>
      <w:bookmarkEnd w:id="310"/>
      <w:bookmarkStart w:id="311" w:name="_Toc342"/>
      <w:bookmarkEnd w:id="311"/>
      <w:bookmarkStart w:id="312" w:name="_Toc152042380"/>
      <w:bookmarkEnd w:id="312"/>
      <w:bookmarkStart w:id="313" w:name="_Toc300835013"/>
      <w:bookmarkEnd w:id="313"/>
      <w:bookmarkStart w:id="314" w:name="_Toc2907"/>
      <w:bookmarkEnd w:id="314"/>
      <w:bookmarkStart w:id="315" w:name="_Toc144974570"/>
      <w:bookmarkEnd w:id="315"/>
      <w:bookmarkStart w:id="316" w:name="_Toc152045603"/>
      <w:bookmarkEnd w:id="316"/>
      <w:bookmarkStart w:id="317" w:name="_Toc361508651"/>
      <w:bookmarkEnd w:id="317"/>
      <w:bookmarkStart w:id="318" w:name="_Toc247527628"/>
      <w:bookmarkEnd w:id="318"/>
      <w:bookmarkStart w:id="319" w:name="_Toc247514027"/>
      <w:bookmarkEnd w:id="319"/>
      <w:bookmarkStart w:id="320" w:name="_Toc384308277"/>
      <w:bookmarkEnd w:id="320"/>
      <w:bookmarkStart w:id="321" w:name="_Toc5223"/>
      <w:bookmarkStart w:id="322" w:name="_Toc501460721"/>
      <w:bookmarkStart w:id="323" w:name="_Toc13972"/>
      <w:bookmarkStart w:id="324" w:name="_Toc501460722"/>
      <w:r>
        <w:rPr>
          <w:rFonts w:hint="eastAsia" w:ascii="Times New Roman" w:hAnsi="Times New Roman"/>
          <w:color w:val="000000"/>
          <w:highlight w:val="none"/>
        </w:rPr>
        <w:t>3</w:t>
      </w:r>
      <w:r>
        <w:rPr>
          <w:rFonts w:ascii="Times New Roman" w:hAnsi="Times New Roman"/>
          <w:color w:val="000000"/>
          <w:highlight w:val="none"/>
        </w:rPr>
        <w:t xml:space="preserve">. </w:t>
      </w:r>
      <w:r>
        <w:rPr>
          <w:rFonts w:hint="eastAsia" w:ascii="Times New Roman" w:hAnsi="Times New Roman"/>
          <w:color w:val="000000"/>
          <w:highlight w:val="none"/>
        </w:rPr>
        <w:t>详细</w:t>
      </w:r>
      <w:r>
        <w:rPr>
          <w:rFonts w:ascii="Times New Roman" w:hAnsi="Times New Roman"/>
          <w:color w:val="000000"/>
          <w:highlight w:val="none"/>
        </w:rPr>
        <w:t>评审标准</w:t>
      </w:r>
      <w:r>
        <w:rPr>
          <w:rFonts w:hint="eastAsia" w:ascii="Times New Roman" w:hAnsi="Times New Roman"/>
          <w:color w:val="000000"/>
          <w:highlight w:val="none"/>
        </w:rPr>
        <w:t>和程序（综合评分法）</w:t>
      </w:r>
      <w:bookmarkEnd w:id="321"/>
    </w:p>
    <w:p>
      <w:pPr>
        <w:pStyle w:val="4"/>
        <w:spacing w:line="240" w:lineRule="auto"/>
        <w:ind w:firstLine="137"/>
        <w:rPr>
          <w:rFonts w:ascii="Times New Roman" w:hAnsi="Times New Roman"/>
          <w:color w:val="000000"/>
          <w:highlight w:val="none"/>
        </w:rPr>
      </w:pPr>
      <w:bookmarkStart w:id="325" w:name="_Toc1037"/>
      <w:r>
        <w:rPr>
          <w:rFonts w:hint="eastAsia" w:ascii="Times New Roman" w:hAnsi="Times New Roman"/>
          <w:color w:val="000000"/>
          <w:highlight w:val="none"/>
        </w:rPr>
        <w:t>3.1</w:t>
      </w:r>
      <w:r>
        <w:rPr>
          <w:rFonts w:ascii="Times New Roman" w:hAnsi="Times New Roman"/>
          <w:color w:val="000000"/>
          <w:highlight w:val="none"/>
        </w:rPr>
        <w:t xml:space="preserve"> </w:t>
      </w:r>
      <w:r>
        <w:rPr>
          <w:rFonts w:hint="eastAsia" w:ascii="Times New Roman" w:hAnsi="Times New Roman"/>
          <w:color w:val="000000"/>
          <w:highlight w:val="none"/>
        </w:rPr>
        <w:t>分值构成</w:t>
      </w:r>
      <w:bookmarkEnd w:id="325"/>
    </w:p>
    <w:p>
      <w:pPr>
        <w:spacing w:line="400" w:lineRule="exact"/>
        <w:ind w:firstLine="420" w:firstLineChars="200"/>
        <w:rPr>
          <w:rFonts w:ascii="Times New Roman" w:hAnsi="Times New Roman"/>
          <w:highlight w:val="none"/>
        </w:rPr>
      </w:pPr>
      <w:r>
        <w:rPr>
          <w:rFonts w:hint="eastAsia" w:ascii="Times New Roman" w:hAnsi="Times New Roman"/>
          <w:highlight w:val="none"/>
        </w:rPr>
        <w:t>（1）商务部分：见评审办法前附表；</w:t>
      </w:r>
    </w:p>
    <w:p>
      <w:pPr>
        <w:spacing w:line="400" w:lineRule="exact"/>
        <w:ind w:firstLine="420" w:firstLineChars="200"/>
        <w:rPr>
          <w:rFonts w:ascii="Times New Roman" w:hAnsi="Times New Roman"/>
          <w:highlight w:val="none"/>
        </w:rPr>
      </w:pPr>
      <w:r>
        <w:rPr>
          <w:rFonts w:hint="eastAsia" w:ascii="Times New Roman" w:hAnsi="Times New Roman"/>
          <w:highlight w:val="none"/>
        </w:rPr>
        <w:t>（2）技术部分：见评审办法前附表；</w:t>
      </w:r>
    </w:p>
    <w:p>
      <w:pPr>
        <w:spacing w:line="400" w:lineRule="exact"/>
        <w:ind w:firstLine="420" w:firstLineChars="200"/>
        <w:rPr>
          <w:rFonts w:ascii="Times New Roman" w:hAnsi="Times New Roman"/>
          <w:highlight w:val="none"/>
        </w:rPr>
      </w:pPr>
      <w:r>
        <w:rPr>
          <w:rFonts w:hint="eastAsia" w:ascii="Times New Roman" w:hAnsi="Times New Roman"/>
          <w:highlight w:val="none"/>
        </w:rPr>
        <w:t>（3）报价：见评审办法前附表；</w:t>
      </w:r>
    </w:p>
    <w:p>
      <w:pPr>
        <w:spacing w:line="400" w:lineRule="exact"/>
        <w:ind w:firstLine="420" w:firstLineChars="200"/>
        <w:rPr>
          <w:rFonts w:ascii="Times New Roman" w:hAnsi="Times New Roman"/>
          <w:highlight w:val="none"/>
        </w:rPr>
      </w:pPr>
      <w:r>
        <w:rPr>
          <w:rFonts w:hint="eastAsia" w:ascii="Times New Roman" w:hAnsi="Times New Roman"/>
          <w:highlight w:val="none"/>
        </w:rPr>
        <w:t>（4）其他评分因素</w:t>
      </w:r>
      <w:r>
        <w:rPr>
          <w:rFonts w:ascii="Times New Roman" w:hAnsi="Times New Roman"/>
          <w:highlight w:val="none"/>
        </w:rPr>
        <w:t>：</w:t>
      </w:r>
      <w:r>
        <w:rPr>
          <w:rFonts w:hint="eastAsia" w:ascii="Times New Roman" w:hAnsi="Times New Roman"/>
          <w:highlight w:val="none"/>
        </w:rPr>
        <w:t>见评审办法前附表。</w:t>
      </w:r>
    </w:p>
    <w:p>
      <w:pPr>
        <w:pStyle w:val="4"/>
        <w:spacing w:line="240" w:lineRule="auto"/>
        <w:ind w:firstLine="137"/>
        <w:rPr>
          <w:rFonts w:ascii="Times New Roman" w:hAnsi="Times New Roman"/>
          <w:color w:val="000000"/>
          <w:highlight w:val="none"/>
        </w:rPr>
      </w:pPr>
      <w:bookmarkStart w:id="326" w:name="_Toc12856"/>
      <w:r>
        <w:rPr>
          <w:rFonts w:hint="eastAsia" w:ascii="Times New Roman" w:hAnsi="Times New Roman"/>
          <w:color w:val="000000"/>
          <w:highlight w:val="none"/>
        </w:rPr>
        <w:t>3.2</w:t>
      </w:r>
      <w:r>
        <w:rPr>
          <w:rFonts w:ascii="Times New Roman" w:hAnsi="Times New Roman"/>
          <w:color w:val="000000"/>
          <w:highlight w:val="none"/>
        </w:rPr>
        <w:t xml:space="preserve"> </w:t>
      </w:r>
      <w:r>
        <w:rPr>
          <w:rFonts w:hint="eastAsia" w:ascii="Times New Roman" w:hAnsi="Times New Roman"/>
          <w:color w:val="000000"/>
          <w:highlight w:val="none"/>
        </w:rPr>
        <w:t>评审基准价计算</w:t>
      </w:r>
      <w:bookmarkEnd w:id="326"/>
    </w:p>
    <w:p>
      <w:pPr>
        <w:spacing w:line="400" w:lineRule="exact"/>
        <w:ind w:firstLine="420" w:firstLineChars="200"/>
        <w:rPr>
          <w:rFonts w:ascii="Times New Roman" w:hAnsi="Times New Roman"/>
          <w:color w:val="000000"/>
          <w:highlight w:val="none"/>
        </w:rPr>
      </w:pPr>
      <w:r>
        <w:rPr>
          <w:rFonts w:hint="eastAsia" w:ascii="Times New Roman" w:hAnsi="Times New Roman"/>
          <w:color w:val="000000"/>
          <w:highlight w:val="none"/>
        </w:rPr>
        <w:t>（1）评审价格：评审价格为按照本章</w:t>
      </w:r>
      <w:r>
        <w:rPr>
          <w:rFonts w:ascii="Times New Roman" w:hAnsi="Times New Roman"/>
          <w:color w:val="000000"/>
          <w:highlight w:val="none"/>
        </w:rPr>
        <w:t>第</w:t>
      </w:r>
      <w:r>
        <w:rPr>
          <w:rFonts w:hint="eastAsia" w:ascii="Times New Roman" w:hAnsi="Times New Roman"/>
          <w:color w:val="000000"/>
          <w:highlight w:val="none"/>
        </w:rPr>
        <w:t>2.2.2项规定确定的价格</w:t>
      </w:r>
      <w:r>
        <w:rPr>
          <w:rFonts w:ascii="Times New Roman" w:hAnsi="Times New Roman"/>
          <w:color w:val="000000"/>
          <w:highlight w:val="none"/>
        </w:rPr>
        <w:t>。</w:t>
      </w:r>
    </w:p>
    <w:p>
      <w:pPr>
        <w:spacing w:line="400" w:lineRule="exact"/>
        <w:ind w:firstLine="420" w:firstLineChars="200"/>
        <w:rPr>
          <w:rFonts w:ascii="Times New Roman" w:hAnsi="Times New Roman"/>
          <w:color w:val="000000"/>
          <w:highlight w:val="none"/>
        </w:rPr>
      </w:pPr>
      <w:r>
        <w:rPr>
          <w:rFonts w:hint="eastAsia" w:ascii="Times New Roman" w:hAnsi="Times New Roman"/>
          <w:color w:val="000000"/>
          <w:highlight w:val="none"/>
        </w:rPr>
        <w:t>（2）评审</w:t>
      </w:r>
      <w:r>
        <w:rPr>
          <w:rFonts w:ascii="Times New Roman" w:hAnsi="Times New Roman"/>
          <w:color w:val="000000"/>
          <w:highlight w:val="none"/>
        </w:rPr>
        <w:t>基准价计算方法：</w:t>
      </w:r>
    </w:p>
    <w:p>
      <w:pPr>
        <w:spacing w:line="400" w:lineRule="exact"/>
        <w:ind w:firstLine="420" w:firstLineChars="200"/>
        <w:rPr>
          <w:highlight w:val="none"/>
        </w:rPr>
      </w:pPr>
      <w:r>
        <w:rPr>
          <w:rFonts w:hint="eastAsia"/>
          <w:highlight w:val="none"/>
        </w:rPr>
        <w:t>方法一：评审基准价=评审价格平均值（即通过初步评审</w:t>
      </w:r>
      <w:r>
        <w:rPr>
          <w:highlight w:val="none"/>
        </w:rPr>
        <w:t>的所有</w:t>
      </w:r>
      <w:r>
        <w:rPr>
          <w:rFonts w:hint="eastAsia"/>
          <w:highlight w:val="none"/>
        </w:rPr>
        <w:t>供应商</w:t>
      </w:r>
      <w:r>
        <w:rPr>
          <w:highlight w:val="none"/>
        </w:rPr>
        <w:t>评</w:t>
      </w:r>
      <w:r>
        <w:rPr>
          <w:rFonts w:hint="eastAsia"/>
          <w:highlight w:val="none"/>
        </w:rPr>
        <w:t>审价格的算术</w:t>
      </w:r>
      <w:r>
        <w:rPr>
          <w:highlight w:val="none"/>
        </w:rPr>
        <w:t>平均值</w:t>
      </w:r>
      <w:r>
        <w:rPr>
          <w:rFonts w:hint="eastAsia"/>
          <w:highlight w:val="none"/>
        </w:rPr>
        <w:t>）</w:t>
      </w:r>
    </w:p>
    <w:p>
      <w:pPr>
        <w:spacing w:line="400" w:lineRule="exact"/>
        <w:ind w:firstLine="420" w:firstLineChars="200"/>
        <w:rPr>
          <w:highlight w:val="none"/>
        </w:rPr>
      </w:pPr>
      <w:r>
        <w:rPr>
          <w:rFonts w:hint="eastAsia"/>
          <w:highlight w:val="none"/>
        </w:rPr>
        <w:t>方法二：评审基准价=评审价格平均值（即通过初步评审</w:t>
      </w:r>
      <w:r>
        <w:rPr>
          <w:highlight w:val="none"/>
        </w:rPr>
        <w:t>的所有</w:t>
      </w:r>
      <w:r>
        <w:rPr>
          <w:rFonts w:hint="eastAsia"/>
          <w:highlight w:val="none"/>
        </w:rPr>
        <w:t>供应商</w:t>
      </w:r>
      <w:r>
        <w:rPr>
          <w:highlight w:val="none"/>
        </w:rPr>
        <w:t>评</w:t>
      </w:r>
      <w:r>
        <w:rPr>
          <w:rFonts w:hint="eastAsia"/>
          <w:highlight w:val="none"/>
        </w:rPr>
        <w:t>审价格的算术</w:t>
      </w:r>
      <w:r>
        <w:rPr>
          <w:highlight w:val="none"/>
        </w:rPr>
        <w:t>平均值</w:t>
      </w:r>
      <w:r>
        <w:rPr>
          <w:rFonts w:hint="eastAsia"/>
          <w:highlight w:val="none"/>
        </w:rPr>
        <w:t>）</w:t>
      </w:r>
      <w:r>
        <w:rPr>
          <w:rFonts w:ascii="Arial" w:hAnsi="Arial" w:cs="Arial"/>
          <w:highlight w:val="none"/>
        </w:rPr>
        <w:t>×</w:t>
      </w:r>
      <w:r>
        <w:rPr>
          <w:rFonts w:hint="eastAsia"/>
          <w:highlight w:val="none"/>
        </w:rPr>
        <w:t>评审基准价系数，评审基准价系数的取值见评审办法前附表。</w:t>
      </w:r>
    </w:p>
    <w:p>
      <w:pPr>
        <w:spacing w:line="400" w:lineRule="exact"/>
        <w:ind w:firstLine="420" w:firstLineChars="200"/>
        <w:rPr>
          <w:highlight w:val="none"/>
        </w:rPr>
      </w:pPr>
      <w:r>
        <w:rPr>
          <w:rFonts w:hint="eastAsia"/>
          <w:highlight w:val="none"/>
        </w:rPr>
        <w:t>方法三：评审基准价=通过初步评审</w:t>
      </w:r>
      <w:r>
        <w:rPr>
          <w:highlight w:val="none"/>
        </w:rPr>
        <w:t>的所有</w:t>
      </w:r>
      <w:r>
        <w:rPr>
          <w:rFonts w:hint="eastAsia"/>
          <w:highlight w:val="none"/>
        </w:rPr>
        <w:t>供应商</w:t>
      </w:r>
      <w:r>
        <w:rPr>
          <w:highlight w:val="none"/>
        </w:rPr>
        <w:t>的最低</w:t>
      </w:r>
      <w:r>
        <w:rPr>
          <w:rFonts w:hint="eastAsia"/>
          <w:highlight w:val="none"/>
        </w:rPr>
        <w:t>评审价格。</w:t>
      </w:r>
    </w:p>
    <w:p>
      <w:pPr>
        <w:spacing w:line="400" w:lineRule="exact"/>
        <w:ind w:firstLine="420" w:firstLineChars="200"/>
        <w:rPr>
          <w:highlight w:val="none"/>
        </w:rPr>
      </w:pPr>
      <w:r>
        <w:rPr>
          <w:highlight w:val="none"/>
        </w:rPr>
        <w:t>方法四：采购人确定的其他方法。</w:t>
      </w:r>
    </w:p>
    <w:p>
      <w:pPr>
        <w:spacing w:line="400" w:lineRule="exact"/>
        <w:ind w:firstLine="420" w:firstLineChars="200"/>
        <w:rPr>
          <w:rFonts w:hint="eastAsia"/>
          <w:highlight w:val="none"/>
        </w:rPr>
      </w:pPr>
      <w:r>
        <w:rPr>
          <w:highlight w:val="none"/>
        </w:rPr>
        <w:t>评审基准价计算方法的选择见评审办法前附表</w:t>
      </w:r>
      <w:r>
        <w:rPr>
          <w:rFonts w:hint="eastAsia"/>
          <w:highlight w:val="none"/>
        </w:rPr>
        <w:t>。</w:t>
      </w:r>
    </w:p>
    <w:p>
      <w:pPr>
        <w:pStyle w:val="4"/>
        <w:spacing w:line="240" w:lineRule="auto"/>
        <w:ind w:firstLine="137"/>
        <w:rPr>
          <w:rFonts w:ascii="Times New Roman" w:hAnsi="Times New Roman"/>
          <w:color w:val="000000"/>
          <w:highlight w:val="none"/>
        </w:rPr>
      </w:pPr>
      <w:bookmarkStart w:id="327" w:name="_Toc3603"/>
      <w:r>
        <w:rPr>
          <w:rFonts w:hint="eastAsia" w:ascii="Times New Roman" w:hAnsi="Times New Roman"/>
          <w:color w:val="000000"/>
          <w:highlight w:val="none"/>
        </w:rPr>
        <w:t>3.3评分标准</w:t>
      </w:r>
      <w:bookmarkEnd w:id="327"/>
    </w:p>
    <w:p>
      <w:pPr>
        <w:spacing w:line="400" w:lineRule="exact"/>
        <w:ind w:firstLine="420" w:firstLineChars="200"/>
        <w:rPr>
          <w:rFonts w:ascii="Times New Roman" w:hAnsi="Times New Roman"/>
          <w:highlight w:val="none"/>
        </w:rPr>
      </w:pPr>
      <w:r>
        <w:rPr>
          <w:rFonts w:ascii="Times New Roman" w:hAnsi="Times New Roman"/>
          <w:highlight w:val="none"/>
        </w:rPr>
        <w:t>（1）商务评分标准：见</w:t>
      </w:r>
      <w:r>
        <w:rPr>
          <w:rFonts w:hint="eastAsia" w:ascii="黑体" w:hAnsi="黑体" w:eastAsia="黑体" w:cs="黑体"/>
          <w:iCs/>
          <w:color w:val="000000"/>
          <w:highlight w:val="none"/>
        </w:rPr>
        <w:t>评审办法前附表</w:t>
      </w:r>
      <w:r>
        <w:rPr>
          <w:rFonts w:ascii="Times New Roman" w:hAnsi="Times New Roman"/>
          <w:highlight w:val="none"/>
        </w:rPr>
        <w:t>；</w:t>
      </w:r>
    </w:p>
    <w:p>
      <w:pPr>
        <w:spacing w:line="400" w:lineRule="exact"/>
        <w:ind w:firstLine="420" w:firstLineChars="200"/>
        <w:rPr>
          <w:rFonts w:ascii="Times New Roman" w:hAnsi="Times New Roman"/>
          <w:highlight w:val="none"/>
        </w:rPr>
      </w:pPr>
      <w:r>
        <w:rPr>
          <w:rFonts w:ascii="Times New Roman" w:hAnsi="Times New Roman"/>
          <w:highlight w:val="none"/>
        </w:rPr>
        <w:t>（2）技术评分标准：见</w:t>
      </w:r>
      <w:r>
        <w:rPr>
          <w:rFonts w:hint="eastAsia" w:ascii="黑体" w:hAnsi="黑体" w:eastAsia="黑体" w:cs="黑体"/>
          <w:iCs/>
          <w:color w:val="000000"/>
          <w:highlight w:val="none"/>
        </w:rPr>
        <w:t>评审办法前附表</w:t>
      </w:r>
      <w:r>
        <w:rPr>
          <w:rFonts w:ascii="Times New Roman" w:hAnsi="Times New Roman"/>
          <w:highlight w:val="none"/>
        </w:rPr>
        <w:t>；</w:t>
      </w:r>
    </w:p>
    <w:p>
      <w:pPr>
        <w:spacing w:line="400" w:lineRule="exact"/>
        <w:ind w:firstLine="420" w:firstLineChars="20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报价</w:t>
      </w:r>
      <w:r>
        <w:rPr>
          <w:rFonts w:ascii="Times New Roman" w:hAnsi="Times New Roman"/>
          <w:highlight w:val="none"/>
        </w:rPr>
        <w:t>评分标准：</w:t>
      </w:r>
    </w:p>
    <w:p>
      <w:pPr>
        <w:spacing w:line="400" w:lineRule="exact"/>
        <w:ind w:firstLine="420" w:firstLineChars="200"/>
        <w:rPr>
          <w:highlight w:val="none"/>
        </w:rPr>
      </w:pPr>
      <w:r>
        <w:rPr>
          <w:rFonts w:hint="eastAsia"/>
          <w:highlight w:val="none"/>
        </w:rPr>
        <w:t>报价得分可采用如下方法计算：</w:t>
      </w:r>
    </w:p>
    <w:p>
      <w:pPr>
        <w:spacing w:line="380" w:lineRule="atLeast"/>
        <w:ind w:firstLine="420" w:firstLineChars="200"/>
        <w:rPr>
          <w:szCs w:val="21"/>
          <w:highlight w:val="none"/>
        </w:rPr>
      </w:pPr>
      <w:r>
        <w:rPr>
          <w:rFonts w:hint="eastAsia" w:ascii="Times New Roman" w:hAnsi="Times New Roman"/>
          <w:highlight w:val="none"/>
        </w:rPr>
        <w:t>方法一：</w:t>
      </w:r>
      <w:r>
        <w:rPr>
          <w:szCs w:val="21"/>
          <w:highlight w:val="none"/>
        </w:rPr>
        <w:t>偏差率=（供应商评审价格−评审基准价）/评审基准价×</w:t>
      </w:r>
      <w:r>
        <w:rPr>
          <w:rFonts w:hint="eastAsia"/>
          <w:szCs w:val="21"/>
          <w:highlight w:val="none"/>
        </w:rPr>
        <w:t>1</w:t>
      </w:r>
      <w:r>
        <w:rPr>
          <w:szCs w:val="21"/>
          <w:highlight w:val="none"/>
        </w:rPr>
        <w:t xml:space="preserve">00% </w:t>
      </w:r>
    </w:p>
    <w:p>
      <w:pPr>
        <w:spacing w:line="380" w:lineRule="atLeast"/>
        <w:ind w:firstLine="420" w:firstLineChars="200"/>
        <w:rPr>
          <w:szCs w:val="21"/>
          <w:highlight w:val="none"/>
        </w:rPr>
      </w:pPr>
      <w:r>
        <w:rPr>
          <w:rFonts w:ascii="Times New Roman" w:hAnsi="Times New Roman"/>
          <w:szCs w:val="24"/>
          <w:highlight w:val="none"/>
        </w:rPr>
        <w:t xml:space="preserve">① </w:t>
      </w:r>
      <w:r>
        <w:rPr>
          <w:szCs w:val="21"/>
          <w:highlight w:val="none"/>
        </w:rPr>
        <w:t>如果</w:t>
      </w:r>
      <w:r>
        <w:rPr>
          <w:rFonts w:hint="eastAsia"/>
          <w:szCs w:val="21"/>
          <w:highlight w:val="none"/>
        </w:rPr>
        <w:t>供应商</w:t>
      </w:r>
      <w:r>
        <w:rPr>
          <w:szCs w:val="21"/>
          <w:highlight w:val="none"/>
        </w:rPr>
        <w:t>的</w:t>
      </w:r>
      <w:r>
        <w:rPr>
          <w:rFonts w:hint="eastAsia"/>
          <w:szCs w:val="21"/>
          <w:highlight w:val="none"/>
        </w:rPr>
        <w:t>评审价格</w:t>
      </w:r>
      <w:r>
        <w:rPr>
          <w:szCs w:val="21"/>
          <w:highlight w:val="none"/>
        </w:rPr>
        <w:t>&gt;评</w:t>
      </w:r>
      <w:r>
        <w:rPr>
          <w:rFonts w:hint="eastAsia"/>
          <w:szCs w:val="21"/>
          <w:highlight w:val="none"/>
        </w:rPr>
        <w:t>审</w:t>
      </w:r>
      <w:r>
        <w:rPr>
          <w:szCs w:val="21"/>
          <w:highlight w:val="none"/>
        </w:rPr>
        <w:t>基准价，则</w:t>
      </w:r>
      <w:r>
        <w:rPr>
          <w:rFonts w:hint="eastAsia"/>
          <w:szCs w:val="21"/>
          <w:highlight w:val="none"/>
        </w:rPr>
        <w:t>报价得分</w:t>
      </w:r>
      <w:r>
        <w:rPr>
          <w:szCs w:val="21"/>
          <w:highlight w:val="none"/>
        </w:rPr>
        <w:t>＝</w:t>
      </w:r>
      <w:r>
        <w:rPr>
          <w:rFonts w:ascii="Times New Roman" w:hAnsi="Times New Roman"/>
          <w:szCs w:val="24"/>
          <w:highlight w:val="none"/>
        </w:rPr>
        <w:t>F</w:t>
      </w:r>
      <w:r>
        <w:rPr>
          <w:szCs w:val="21"/>
          <w:highlight w:val="none"/>
        </w:rPr>
        <w:t>－偏差率×100× E</w:t>
      </w:r>
      <w:r>
        <w:rPr>
          <w:szCs w:val="21"/>
          <w:highlight w:val="none"/>
          <w:vertAlign w:val="subscript"/>
        </w:rPr>
        <w:t>1</w:t>
      </w:r>
      <w:r>
        <w:rPr>
          <w:szCs w:val="21"/>
          <w:highlight w:val="none"/>
        </w:rPr>
        <w:t>；</w:t>
      </w:r>
    </w:p>
    <w:p>
      <w:pPr>
        <w:spacing w:line="400" w:lineRule="exact"/>
        <w:ind w:firstLine="420" w:firstLineChars="200"/>
        <w:rPr>
          <w:rFonts w:ascii="Times New Roman" w:hAnsi="Times New Roman"/>
          <w:szCs w:val="24"/>
          <w:highlight w:val="none"/>
        </w:rPr>
      </w:pPr>
      <w:r>
        <w:rPr>
          <w:rFonts w:ascii="Times New Roman" w:hAnsi="Times New Roman"/>
          <w:szCs w:val="24"/>
          <w:highlight w:val="none"/>
        </w:rPr>
        <w:t>② 如果供应商的评审价格≤评</w:t>
      </w:r>
      <w:r>
        <w:rPr>
          <w:rFonts w:hint="eastAsia" w:ascii="Times New Roman" w:hAnsi="Times New Roman"/>
          <w:szCs w:val="24"/>
          <w:highlight w:val="none"/>
        </w:rPr>
        <w:t>审</w:t>
      </w:r>
      <w:r>
        <w:rPr>
          <w:rFonts w:ascii="Times New Roman" w:hAnsi="Times New Roman"/>
          <w:szCs w:val="24"/>
          <w:highlight w:val="none"/>
        </w:rPr>
        <w:t>基准价，则</w:t>
      </w:r>
      <w:r>
        <w:rPr>
          <w:rFonts w:hint="eastAsia"/>
          <w:szCs w:val="21"/>
          <w:highlight w:val="none"/>
        </w:rPr>
        <w:t>报价</w:t>
      </w:r>
      <w:r>
        <w:rPr>
          <w:rFonts w:ascii="Times New Roman" w:hAnsi="Times New Roman"/>
          <w:szCs w:val="24"/>
          <w:highlight w:val="none"/>
        </w:rPr>
        <w:t>得分＝F＋偏差率× 100× E</w:t>
      </w:r>
      <w:r>
        <w:rPr>
          <w:rFonts w:ascii="Times New Roman" w:hAnsi="Times New Roman"/>
          <w:szCs w:val="24"/>
          <w:highlight w:val="none"/>
          <w:vertAlign w:val="subscript"/>
        </w:rPr>
        <w:t>2</w:t>
      </w:r>
      <w:r>
        <w:rPr>
          <w:rFonts w:ascii="Times New Roman" w:hAnsi="Times New Roman"/>
          <w:szCs w:val="24"/>
          <w:highlight w:val="none"/>
        </w:rPr>
        <w:t>。</w:t>
      </w:r>
    </w:p>
    <w:p>
      <w:pPr>
        <w:spacing w:line="400" w:lineRule="exact"/>
        <w:ind w:firstLine="420" w:firstLineChars="200"/>
        <w:rPr>
          <w:rFonts w:ascii="Times New Roman" w:hAnsi="Times New Roman"/>
          <w:highlight w:val="none"/>
        </w:rPr>
      </w:pPr>
      <w:r>
        <w:rPr>
          <w:rFonts w:ascii="Times New Roman" w:hAnsi="Times New Roman"/>
          <w:szCs w:val="24"/>
          <w:highlight w:val="none"/>
        </w:rPr>
        <w:t>其中F</w:t>
      </w:r>
      <w:r>
        <w:rPr>
          <w:rFonts w:hint="eastAsia" w:ascii="Times New Roman" w:hAnsi="Times New Roman"/>
          <w:szCs w:val="24"/>
          <w:highlight w:val="none"/>
        </w:rPr>
        <w:t>为本章第3. 1（3）项规定的</w:t>
      </w:r>
      <w:r>
        <w:rPr>
          <w:rFonts w:ascii="Times New Roman" w:hAnsi="Times New Roman"/>
          <w:szCs w:val="24"/>
          <w:highlight w:val="none"/>
        </w:rPr>
        <w:t>报价所占的分值；E</w:t>
      </w:r>
      <w:r>
        <w:rPr>
          <w:rFonts w:ascii="Times New Roman" w:hAnsi="Times New Roman"/>
          <w:szCs w:val="24"/>
          <w:highlight w:val="none"/>
          <w:vertAlign w:val="subscript"/>
        </w:rPr>
        <w:t>1</w:t>
      </w:r>
      <w:r>
        <w:rPr>
          <w:rFonts w:ascii="Times New Roman" w:hAnsi="Times New Roman"/>
          <w:szCs w:val="24"/>
          <w:highlight w:val="none"/>
        </w:rPr>
        <w:t>是评审价格每高于评审基准价一个百分点的扣分值、E</w:t>
      </w:r>
      <w:r>
        <w:rPr>
          <w:rFonts w:ascii="Times New Roman" w:hAnsi="Times New Roman"/>
          <w:szCs w:val="24"/>
          <w:highlight w:val="none"/>
          <w:vertAlign w:val="subscript"/>
        </w:rPr>
        <w:t>2</w:t>
      </w:r>
      <w:r>
        <w:rPr>
          <w:rFonts w:ascii="Times New Roman" w:hAnsi="Times New Roman"/>
          <w:szCs w:val="24"/>
          <w:highlight w:val="none"/>
        </w:rPr>
        <w:t>是评审价格每低于评审基准价一个百分点的扣分值，E</w:t>
      </w:r>
      <w:r>
        <w:rPr>
          <w:rFonts w:ascii="Times New Roman" w:hAnsi="Times New Roman"/>
          <w:szCs w:val="24"/>
          <w:highlight w:val="none"/>
          <w:vertAlign w:val="subscript"/>
        </w:rPr>
        <w:t>1</w:t>
      </w:r>
      <w:r>
        <w:rPr>
          <w:rFonts w:ascii="Times New Roman" w:hAnsi="Times New Roman"/>
          <w:szCs w:val="24"/>
          <w:highlight w:val="none"/>
        </w:rPr>
        <w:t>可大于</w:t>
      </w:r>
      <w:r>
        <w:rPr>
          <w:rFonts w:hint="eastAsia" w:ascii="Times New Roman" w:hAnsi="Times New Roman"/>
          <w:szCs w:val="24"/>
          <w:highlight w:val="none"/>
        </w:rPr>
        <w:t>或等于</w:t>
      </w:r>
      <w:r>
        <w:rPr>
          <w:rFonts w:ascii="Times New Roman" w:hAnsi="Times New Roman"/>
          <w:szCs w:val="24"/>
          <w:highlight w:val="none"/>
        </w:rPr>
        <w:t>E</w:t>
      </w:r>
      <w:r>
        <w:rPr>
          <w:rFonts w:ascii="Times New Roman" w:hAnsi="Times New Roman"/>
          <w:szCs w:val="24"/>
          <w:highlight w:val="none"/>
          <w:vertAlign w:val="subscript"/>
        </w:rPr>
        <w:t>2</w:t>
      </w:r>
      <w:r>
        <w:rPr>
          <w:rFonts w:ascii="Times New Roman" w:hAnsi="Times New Roman"/>
          <w:szCs w:val="24"/>
          <w:highlight w:val="none"/>
        </w:rPr>
        <w:t>。E</w:t>
      </w:r>
      <w:r>
        <w:rPr>
          <w:rFonts w:ascii="Times New Roman" w:hAnsi="Times New Roman"/>
          <w:szCs w:val="24"/>
          <w:highlight w:val="none"/>
          <w:vertAlign w:val="subscript"/>
        </w:rPr>
        <w:t>1</w:t>
      </w:r>
      <w:r>
        <w:rPr>
          <w:rFonts w:ascii="Times New Roman" w:hAnsi="Times New Roman"/>
          <w:szCs w:val="24"/>
          <w:highlight w:val="none"/>
        </w:rPr>
        <w:t>、E</w:t>
      </w:r>
      <w:r>
        <w:rPr>
          <w:rFonts w:ascii="Times New Roman" w:hAnsi="Times New Roman"/>
          <w:szCs w:val="24"/>
          <w:highlight w:val="none"/>
          <w:vertAlign w:val="subscript"/>
        </w:rPr>
        <w:t>2</w:t>
      </w:r>
      <w:r>
        <w:rPr>
          <w:rFonts w:ascii="Times New Roman" w:hAnsi="Times New Roman"/>
          <w:szCs w:val="24"/>
          <w:highlight w:val="none"/>
        </w:rPr>
        <w:t>的</w:t>
      </w:r>
      <w:r>
        <w:rPr>
          <w:rFonts w:hint="eastAsia" w:ascii="Times New Roman" w:hAnsi="Times New Roman"/>
          <w:szCs w:val="24"/>
          <w:highlight w:val="none"/>
        </w:rPr>
        <w:t>取值</w:t>
      </w:r>
      <w:r>
        <w:rPr>
          <w:rFonts w:ascii="Times New Roman" w:hAnsi="Times New Roman"/>
          <w:szCs w:val="24"/>
          <w:highlight w:val="none"/>
        </w:rPr>
        <w:t>见</w:t>
      </w:r>
      <w:r>
        <w:rPr>
          <w:rFonts w:hint="eastAsia" w:ascii="Times New Roman" w:hAnsi="Times New Roman"/>
          <w:szCs w:val="24"/>
          <w:highlight w:val="none"/>
        </w:rPr>
        <w:t>评审</w:t>
      </w:r>
      <w:r>
        <w:rPr>
          <w:rFonts w:ascii="Times New Roman" w:hAnsi="Times New Roman"/>
          <w:szCs w:val="24"/>
          <w:highlight w:val="none"/>
        </w:rPr>
        <w:t>办法前附表。</w:t>
      </w:r>
    </w:p>
    <w:p>
      <w:pPr>
        <w:spacing w:line="400" w:lineRule="exact"/>
        <w:ind w:firstLine="420" w:firstLineChars="200"/>
        <w:jc w:val="left"/>
        <w:rPr>
          <w:highlight w:val="none"/>
        </w:rPr>
      </w:pPr>
      <w:r>
        <w:rPr>
          <w:rFonts w:ascii="Times New Roman" w:hAnsi="Times New Roman"/>
          <w:szCs w:val="24"/>
          <w:highlight w:val="none"/>
        </w:rPr>
        <w:t>方法二：</w:t>
      </w:r>
      <w:r>
        <w:rPr>
          <w:rFonts w:hint="eastAsia"/>
          <w:highlight w:val="none"/>
        </w:rPr>
        <w:t>报价得分=</w:t>
      </w:r>
      <w:r>
        <w:rPr>
          <w:rFonts w:hint="eastAsia"/>
          <w:color w:val="000000"/>
          <w:szCs w:val="24"/>
          <w:highlight w:val="none"/>
        </w:rPr>
        <w:t>（</w:t>
      </w:r>
      <w:r>
        <w:rPr>
          <w:rFonts w:hint="eastAsia"/>
          <w:highlight w:val="none"/>
        </w:rPr>
        <w:t>通过初步评审</w:t>
      </w:r>
      <w:r>
        <w:rPr>
          <w:highlight w:val="none"/>
        </w:rPr>
        <w:t>的所有</w:t>
      </w:r>
      <w:r>
        <w:rPr>
          <w:rFonts w:hint="eastAsia"/>
          <w:highlight w:val="none"/>
        </w:rPr>
        <w:t>供应商</w:t>
      </w:r>
      <w:r>
        <w:rPr>
          <w:highlight w:val="none"/>
        </w:rPr>
        <w:t>的最低</w:t>
      </w:r>
      <w:r>
        <w:rPr>
          <w:rFonts w:hint="eastAsia"/>
          <w:highlight w:val="none"/>
        </w:rPr>
        <w:t>评审价格</w:t>
      </w:r>
      <w:r>
        <w:rPr>
          <w:rFonts w:hint="eastAsia"/>
          <w:color w:val="000000"/>
          <w:szCs w:val="24"/>
          <w:highlight w:val="none"/>
        </w:rPr>
        <w:t>／</w:t>
      </w:r>
      <w:r>
        <w:rPr>
          <w:rFonts w:hint="eastAsia"/>
          <w:szCs w:val="24"/>
          <w:highlight w:val="none"/>
        </w:rPr>
        <w:t>供应商</w:t>
      </w:r>
      <w:r>
        <w:rPr>
          <w:rFonts w:hint="eastAsia"/>
          <w:color w:val="000000"/>
          <w:szCs w:val="24"/>
          <w:highlight w:val="none"/>
        </w:rPr>
        <w:t>评审价格）</w:t>
      </w:r>
      <w:r>
        <w:rPr>
          <w:rFonts w:hint="eastAsia"/>
          <w:highlight w:val="none"/>
        </w:rPr>
        <w:t>×</w:t>
      </w:r>
      <w:r>
        <w:rPr>
          <w:rFonts w:ascii="Times New Roman" w:hAnsi="Times New Roman"/>
          <w:szCs w:val="24"/>
          <w:highlight w:val="none"/>
        </w:rPr>
        <w:t>F</w:t>
      </w:r>
      <w:r>
        <w:rPr>
          <w:rFonts w:hint="eastAsia"/>
          <w:szCs w:val="21"/>
          <w:highlight w:val="none"/>
        </w:rPr>
        <w:t>，</w:t>
      </w:r>
      <w:r>
        <w:rPr>
          <w:rFonts w:ascii="Times New Roman" w:hAnsi="Times New Roman"/>
          <w:szCs w:val="24"/>
          <w:highlight w:val="none"/>
        </w:rPr>
        <w:t>F</w:t>
      </w:r>
      <w:r>
        <w:rPr>
          <w:rFonts w:hint="eastAsia"/>
          <w:szCs w:val="21"/>
          <w:highlight w:val="none"/>
        </w:rPr>
        <w:t>为</w:t>
      </w:r>
      <w:r>
        <w:rPr>
          <w:rFonts w:hint="eastAsia" w:ascii="Times New Roman" w:hAnsi="Times New Roman"/>
          <w:szCs w:val="24"/>
          <w:highlight w:val="none"/>
        </w:rPr>
        <w:t>本章第3. 1（3）项规定的</w:t>
      </w:r>
      <w:r>
        <w:rPr>
          <w:rFonts w:hint="eastAsia"/>
          <w:szCs w:val="24"/>
          <w:highlight w:val="none"/>
        </w:rPr>
        <w:t>报价所占的分值</w:t>
      </w:r>
      <w:r>
        <w:rPr>
          <w:rFonts w:hint="eastAsia"/>
          <w:highlight w:val="none"/>
        </w:rPr>
        <w:t>。</w:t>
      </w:r>
    </w:p>
    <w:p>
      <w:pPr>
        <w:spacing w:line="400" w:lineRule="exact"/>
        <w:ind w:firstLine="420" w:firstLineChars="200"/>
        <w:jc w:val="left"/>
        <w:rPr>
          <w:rFonts w:ascii="Times New Roman" w:hAnsi="Times New Roman"/>
          <w:highlight w:val="none"/>
        </w:rPr>
      </w:pPr>
      <w:r>
        <w:rPr>
          <w:rFonts w:ascii="Times New Roman" w:hAnsi="Times New Roman"/>
          <w:highlight w:val="none"/>
        </w:rPr>
        <w:t>方法</w:t>
      </w:r>
      <w:r>
        <w:rPr>
          <w:rFonts w:hint="eastAsia" w:ascii="Times New Roman" w:hAnsi="Times New Roman"/>
          <w:highlight w:val="none"/>
        </w:rPr>
        <w:t>三</w:t>
      </w:r>
      <w:r>
        <w:rPr>
          <w:rFonts w:ascii="Times New Roman" w:hAnsi="Times New Roman"/>
          <w:highlight w:val="none"/>
        </w:rPr>
        <w:t>：采购人确定的其他方法。</w:t>
      </w:r>
    </w:p>
    <w:p>
      <w:pPr>
        <w:spacing w:line="400" w:lineRule="exact"/>
        <w:ind w:firstLine="420" w:firstLineChars="200"/>
        <w:rPr>
          <w:highlight w:val="none"/>
        </w:rPr>
      </w:pPr>
      <w:r>
        <w:rPr>
          <w:rFonts w:hint="eastAsia"/>
          <w:highlight w:val="none"/>
        </w:rPr>
        <w:t>报价得分</w:t>
      </w:r>
      <w:r>
        <w:rPr>
          <w:highlight w:val="none"/>
        </w:rPr>
        <w:t>计算方法见评审办法前附表</w:t>
      </w:r>
      <w:r>
        <w:rPr>
          <w:rFonts w:hint="eastAsia"/>
          <w:highlight w:val="none"/>
        </w:rPr>
        <w:t>。</w:t>
      </w:r>
    </w:p>
    <w:p>
      <w:pPr>
        <w:spacing w:line="400" w:lineRule="exact"/>
        <w:ind w:firstLine="420" w:firstLineChars="200"/>
        <w:rPr>
          <w:rFonts w:hint="eastAsia" w:ascii="Times New Roman" w:hAnsi="Times New Roman"/>
          <w:highlight w:val="none"/>
        </w:rPr>
      </w:pPr>
      <w:r>
        <w:rPr>
          <w:rFonts w:ascii="Times New Roman" w:hAnsi="Times New Roman"/>
          <w:highlight w:val="none"/>
        </w:rPr>
        <w:t>（4）其他因素评分标准：见</w:t>
      </w:r>
      <w:r>
        <w:rPr>
          <w:rFonts w:hint="eastAsia" w:ascii="黑体" w:hAnsi="黑体" w:eastAsia="黑体" w:cs="黑体"/>
          <w:iCs/>
          <w:color w:val="000000"/>
          <w:highlight w:val="none"/>
        </w:rPr>
        <w:t>评审办法前附表</w:t>
      </w:r>
      <w:r>
        <w:rPr>
          <w:rFonts w:ascii="Times New Roman" w:hAnsi="Times New Roman"/>
          <w:highlight w:val="none"/>
        </w:rPr>
        <w:t>。</w:t>
      </w:r>
    </w:p>
    <w:p>
      <w:pPr>
        <w:pStyle w:val="4"/>
        <w:spacing w:line="240" w:lineRule="auto"/>
        <w:ind w:firstLine="137"/>
        <w:rPr>
          <w:rFonts w:ascii="Times New Roman" w:hAnsi="Times New Roman"/>
          <w:color w:val="000000"/>
          <w:highlight w:val="none"/>
        </w:rPr>
      </w:pPr>
      <w:bookmarkStart w:id="328" w:name="_Toc28253"/>
      <w:r>
        <w:rPr>
          <w:rFonts w:hint="eastAsia" w:ascii="Times New Roman" w:hAnsi="Times New Roman"/>
          <w:color w:val="000000"/>
          <w:highlight w:val="none"/>
        </w:rPr>
        <w:t>3.4评分</w:t>
      </w:r>
      <w:bookmarkEnd w:id="328"/>
    </w:p>
    <w:p>
      <w:pPr>
        <w:spacing w:line="400" w:lineRule="exact"/>
        <w:ind w:firstLine="420" w:firstLineChars="200"/>
        <w:rPr>
          <w:rFonts w:hint="eastAsia" w:ascii="Times New Roman" w:hAnsi="Times New Roman"/>
          <w:highlight w:val="none"/>
        </w:rPr>
      </w:pPr>
      <w:r>
        <w:rPr>
          <w:rFonts w:hint="eastAsia" w:ascii="Times New Roman" w:hAnsi="Times New Roman"/>
          <w:highlight w:val="none"/>
        </w:rPr>
        <w:t>评审小组成员按照评分标准独立对供应商的商务、技术和其他因素进行评分。报价评分由评审小组统一计算。各项得分汇总后为该成员给供应商的评分总分。评分分值计算保留小数点后两位，小数点后第三位“四舍五入”</w:t>
      </w:r>
      <w:r>
        <w:rPr>
          <w:rFonts w:ascii="Times New Roman" w:hAnsi="Times New Roman"/>
          <w:highlight w:val="none"/>
        </w:rPr>
        <w:t>。</w:t>
      </w:r>
    </w:p>
    <w:p>
      <w:pPr>
        <w:pStyle w:val="4"/>
        <w:spacing w:line="240" w:lineRule="auto"/>
        <w:ind w:firstLine="137"/>
        <w:rPr>
          <w:rFonts w:ascii="Times New Roman" w:hAnsi="Times New Roman"/>
          <w:color w:val="000000"/>
          <w:highlight w:val="none"/>
        </w:rPr>
      </w:pPr>
      <w:bookmarkStart w:id="329" w:name="_Toc15650"/>
      <w:r>
        <w:rPr>
          <w:rFonts w:hint="eastAsia" w:ascii="Times New Roman" w:hAnsi="Times New Roman"/>
          <w:color w:val="000000"/>
          <w:highlight w:val="none"/>
        </w:rPr>
        <w:t>3.5汇总</w:t>
      </w:r>
      <w:bookmarkEnd w:id="329"/>
    </w:p>
    <w:p>
      <w:pPr>
        <w:spacing w:line="400" w:lineRule="exact"/>
        <w:ind w:firstLine="420" w:firstLineChars="200"/>
        <w:rPr>
          <w:rFonts w:hint="eastAsia" w:ascii="Times New Roman" w:hAnsi="Times New Roman"/>
          <w:highlight w:val="none"/>
        </w:rPr>
      </w:pPr>
      <w:r>
        <w:rPr>
          <w:rFonts w:ascii="Times New Roman" w:hAnsi="Times New Roman"/>
          <w:highlight w:val="none"/>
        </w:rPr>
        <w:t>评审小组汇总每个成员对供应商的评分总分</w:t>
      </w:r>
      <w:r>
        <w:rPr>
          <w:rFonts w:hint="eastAsia" w:ascii="Times New Roman" w:hAnsi="Times New Roman"/>
          <w:highlight w:val="none"/>
        </w:rPr>
        <w:t>，</w:t>
      </w:r>
      <w:r>
        <w:rPr>
          <w:rFonts w:ascii="Times New Roman" w:hAnsi="Times New Roman"/>
          <w:highlight w:val="none"/>
        </w:rPr>
        <w:t>每个供应商的评分总分的算术平均值为供应商最终得分</w:t>
      </w:r>
      <w:r>
        <w:rPr>
          <w:rFonts w:hint="eastAsia" w:ascii="Times New Roman" w:hAnsi="Times New Roman"/>
          <w:highlight w:val="none"/>
        </w:rPr>
        <w:t>。</w:t>
      </w:r>
    </w:p>
    <w:p>
      <w:pPr>
        <w:pStyle w:val="4"/>
        <w:spacing w:line="240" w:lineRule="auto"/>
        <w:ind w:firstLine="137"/>
        <w:rPr>
          <w:rFonts w:ascii="Times New Roman" w:hAnsi="Times New Roman"/>
          <w:color w:val="000000"/>
          <w:highlight w:val="none"/>
        </w:rPr>
      </w:pPr>
      <w:bookmarkStart w:id="330" w:name="_Toc24660"/>
      <w:r>
        <w:rPr>
          <w:rFonts w:hint="eastAsia" w:ascii="Times New Roman" w:hAnsi="Times New Roman"/>
          <w:color w:val="000000"/>
          <w:highlight w:val="none"/>
        </w:rPr>
        <w:t>3.6排序</w:t>
      </w:r>
      <w:bookmarkEnd w:id="330"/>
    </w:p>
    <w:p>
      <w:pPr>
        <w:spacing w:line="400" w:lineRule="exact"/>
        <w:ind w:firstLine="420" w:firstLineChars="200"/>
        <w:rPr>
          <w:rFonts w:hint="eastAsia" w:ascii="Times New Roman" w:hAnsi="Times New Roman"/>
          <w:highlight w:val="none"/>
        </w:rPr>
      </w:pPr>
      <w:r>
        <w:rPr>
          <w:rFonts w:ascii="Times New Roman" w:hAnsi="Times New Roman"/>
          <w:highlight w:val="none"/>
        </w:rPr>
        <w:t>评审小组对供应商最终得分进行比较后</w:t>
      </w:r>
      <w:r>
        <w:rPr>
          <w:rFonts w:hint="eastAsia" w:ascii="Times New Roman" w:hAnsi="Times New Roman"/>
          <w:highlight w:val="none"/>
        </w:rPr>
        <w:t>，</w:t>
      </w:r>
      <w:r>
        <w:rPr>
          <w:rFonts w:ascii="Times New Roman" w:hAnsi="Times New Roman"/>
          <w:highlight w:val="none"/>
        </w:rPr>
        <w:t>可以按照供应商最终得分由高到低的顺序对供应商排序</w:t>
      </w:r>
      <w:r>
        <w:rPr>
          <w:rFonts w:hint="eastAsia" w:ascii="Times New Roman" w:hAnsi="Times New Roman"/>
          <w:highlight w:val="none"/>
        </w:rPr>
        <w:t>。</w:t>
      </w:r>
      <w:r>
        <w:rPr>
          <w:rFonts w:ascii="Times New Roman" w:hAnsi="Times New Roman"/>
          <w:highlight w:val="none"/>
        </w:rPr>
        <w:t>最终得分相等时</w:t>
      </w:r>
      <w:r>
        <w:rPr>
          <w:rFonts w:hint="eastAsia" w:ascii="Times New Roman" w:hAnsi="Times New Roman"/>
          <w:highlight w:val="none"/>
        </w:rPr>
        <w:t>，</w:t>
      </w:r>
      <w:r>
        <w:rPr>
          <w:rFonts w:ascii="Times New Roman" w:hAnsi="Times New Roman"/>
          <w:highlight w:val="none"/>
        </w:rPr>
        <w:t>以评审价格低的优先</w:t>
      </w:r>
      <w:r>
        <w:rPr>
          <w:rFonts w:hint="eastAsia" w:ascii="Times New Roman" w:hAnsi="Times New Roman"/>
          <w:highlight w:val="none"/>
        </w:rPr>
        <w:t>；</w:t>
      </w:r>
      <w:r>
        <w:rPr>
          <w:rFonts w:ascii="Times New Roman" w:hAnsi="Times New Roman"/>
          <w:highlight w:val="none"/>
        </w:rPr>
        <w:t>评审价格也相等的</w:t>
      </w:r>
      <w:r>
        <w:rPr>
          <w:rFonts w:hint="eastAsia" w:ascii="Times New Roman" w:hAnsi="Times New Roman"/>
          <w:highlight w:val="none"/>
        </w:rPr>
        <w:t>，</w:t>
      </w:r>
      <w:r>
        <w:rPr>
          <w:rFonts w:ascii="Times New Roman" w:hAnsi="Times New Roman"/>
          <w:highlight w:val="none"/>
        </w:rPr>
        <w:t>以技术得分高的优先</w:t>
      </w:r>
      <w:r>
        <w:rPr>
          <w:rFonts w:hint="eastAsia" w:ascii="Times New Roman" w:hAnsi="Times New Roman"/>
          <w:highlight w:val="none"/>
        </w:rPr>
        <w:t>；</w:t>
      </w:r>
      <w:r>
        <w:rPr>
          <w:rFonts w:ascii="Times New Roman" w:hAnsi="Times New Roman"/>
          <w:highlight w:val="none"/>
        </w:rPr>
        <w:t>如果技术得分也相等</w:t>
      </w:r>
      <w:r>
        <w:rPr>
          <w:rFonts w:hint="eastAsia" w:ascii="Times New Roman" w:hAnsi="Times New Roman"/>
          <w:highlight w:val="none"/>
        </w:rPr>
        <w:t>，</w:t>
      </w:r>
      <w:r>
        <w:rPr>
          <w:rFonts w:ascii="Times New Roman" w:hAnsi="Times New Roman"/>
          <w:highlight w:val="none"/>
        </w:rPr>
        <w:t>按照评审办法前附表的规定确定供应商优先顺序</w:t>
      </w:r>
      <w:r>
        <w:rPr>
          <w:rFonts w:hint="eastAsia" w:ascii="Times New Roman" w:hAnsi="Times New Roman"/>
          <w:highlight w:val="none"/>
        </w:rPr>
        <w:t>。</w:t>
      </w:r>
    </w:p>
    <w:p>
      <w:pPr>
        <w:pStyle w:val="4"/>
        <w:spacing w:line="240" w:lineRule="auto"/>
        <w:ind w:firstLine="137"/>
        <w:rPr>
          <w:rFonts w:ascii="Times New Roman" w:hAnsi="Times New Roman"/>
          <w:color w:val="000000"/>
          <w:highlight w:val="none"/>
        </w:rPr>
      </w:pPr>
      <w:bookmarkStart w:id="331" w:name="_Toc27883"/>
      <w:r>
        <w:rPr>
          <w:rFonts w:hint="eastAsia" w:ascii="Times New Roman" w:hAnsi="Times New Roman"/>
          <w:color w:val="000000"/>
          <w:highlight w:val="none"/>
        </w:rPr>
        <w:t>3.7特殊情形处理</w:t>
      </w:r>
      <w:bookmarkEnd w:id="331"/>
    </w:p>
    <w:p>
      <w:pPr>
        <w:spacing w:line="400" w:lineRule="exact"/>
        <w:ind w:firstLine="420" w:firstLineChars="200"/>
        <w:rPr>
          <w:rFonts w:ascii="Times New Roman" w:hAnsi="Times New Roman"/>
          <w:highlight w:val="none"/>
        </w:rPr>
      </w:pPr>
      <w:r>
        <w:rPr>
          <w:rFonts w:ascii="Times New Roman" w:hAnsi="Times New Roman"/>
          <w:highlight w:val="none"/>
        </w:rPr>
        <w:t>当通过初步评审的供应商数量未超过询比采购公告</w:t>
      </w:r>
      <w:r>
        <w:rPr>
          <w:rFonts w:hint="eastAsia" w:ascii="Times New Roman" w:hAnsi="Times New Roman"/>
          <w:highlight w:val="none"/>
        </w:rPr>
        <w:t>/询比采购邀请书第1.6款规定的成交供应商数量、评审小组认为供应商的响应价格合理且物有所值时，不再进行详细评审，直接推荐上述供应商为候选成交供应商。</w:t>
      </w:r>
    </w:p>
    <w:p>
      <w:pPr>
        <w:pStyle w:val="3"/>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w:t>
      </w:r>
      <w:r>
        <w:rPr>
          <w:rFonts w:ascii="Times New Roman" w:hAnsi="Times New Roman"/>
          <w:color w:val="auto"/>
          <w:highlight w:val="none"/>
        </w:rPr>
        <w:t xml:space="preserve"> </w:t>
      </w:r>
      <w:r>
        <w:rPr>
          <w:rFonts w:hint="eastAsia" w:ascii="Times New Roman" w:hAnsi="Times New Roman"/>
          <w:color w:val="auto"/>
          <w:highlight w:val="none"/>
        </w:rPr>
        <w:t>评审结果</w:t>
      </w:r>
      <w:bookmarkEnd w:id="322"/>
      <w:bookmarkEnd w:id="323"/>
    </w:p>
    <w:p>
      <w:pPr>
        <w:pStyle w:val="4"/>
        <w:spacing w:line="240" w:lineRule="auto"/>
        <w:ind w:firstLine="137"/>
        <w:rPr>
          <w:rFonts w:ascii="Times New Roman" w:hAnsi="Times New Roman"/>
          <w:color w:val="auto"/>
          <w:highlight w:val="none"/>
        </w:rPr>
      </w:pPr>
      <w:bookmarkStart w:id="332" w:name="_Toc21889"/>
      <w:r>
        <w:rPr>
          <w:rFonts w:hint="eastAsia" w:ascii="Times New Roman" w:hAnsi="Times New Roman"/>
          <w:color w:val="auto"/>
          <w:highlight w:val="none"/>
        </w:rPr>
        <w:t>4.1 提交书面评审报告</w:t>
      </w:r>
      <w:bookmarkEnd w:id="332"/>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评审小组</w:t>
      </w:r>
      <w:r>
        <w:rPr>
          <w:rFonts w:ascii="Times New Roman" w:hAnsi="Times New Roman"/>
          <w:color w:val="auto"/>
          <w:highlight w:val="none"/>
        </w:rPr>
        <w:t>完成</w:t>
      </w:r>
      <w:r>
        <w:rPr>
          <w:rFonts w:hint="eastAsia" w:ascii="Times New Roman" w:hAnsi="Times New Roman"/>
          <w:color w:val="auto"/>
          <w:highlight w:val="none"/>
        </w:rPr>
        <w:t>评审</w:t>
      </w:r>
      <w:r>
        <w:rPr>
          <w:rFonts w:ascii="Times New Roman" w:hAnsi="Times New Roman"/>
          <w:color w:val="auto"/>
          <w:highlight w:val="none"/>
        </w:rPr>
        <w:t>后，应当向</w:t>
      </w:r>
      <w:r>
        <w:rPr>
          <w:rFonts w:hint="eastAsia" w:ascii="Times New Roman" w:hAnsi="Times New Roman"/>
          <w:color w:val="auto"/>
          <w:highlight w:val="none"/>
        </w:rPr>
        <w:t>采购人提交</w:t>
      </w:r>
      <w:r>
        <w:rPr>
          <w:rFonts w:ascii="Times New Roman" w:hAnsi="Times New Roman"/>
          <w:color w:val="auto"/>
          <w:highlight w:val="none"/>
        </w:rPr>
        <w:t>书面</w:t>
      </w:r>
      <w:r>
        <w:rPr>
          <w:rFonts w:hint="eastAsia" w:ascii="Times New Roman" w:hAnsi="Times New Roman"/>
          <w:color w:val="auto"/>
          <w:highlight w:val="none"/>
        </w:rPr>
        <w:t>评审</w:t>
      </w:r>
      <w:r>
        <w:rPr>
          <w:rFonts w:ascii="Times New Roman" w:hAnsi="Times New Roman"/>
          <w:color w:val="auto"/>
          <w:highlight w:val="none"/>
        </w:rPr>
        <w:t>报告。</w:t>
      </w:r>
    </w:p>
    <w:p>
      <w:pPr>
        <w:pStyle w:val="4"/>
        <w:spacing w:line="240" w:lineRule="auto"/>
        <w:ind w:firstLine="137"/>
        <w:rPr>
          <w:rFonts w:ascii="Times New Roman" w:hAnsi="Times New Roman"/>
          <w:color w:val="auto"/>
          <w:highlight w:val="none"/>
        </w:rPr>
      </w:pPr>
      <w:bookmarkStart w:id="333" w:name="_Toc26220"/>
      <w:r>
        <w:rPr>
          <w:rFonts w:hint="eastAsia" w:ascii="Times New Roman" w:hAnsi="Times New Roman"/>
          <w:color w:val="auto"/>
          <w:highlight w:val="none"/>
        </w:rPr>
        <w:t>4.</w:t>
      </w:r>
      <w:r>
        <w:rPr>
          <w:rFonts w:ascii="Times New Roman" w:hAnsi="Times New Roman"/>
          <w:color w:val="auto"/>
          <w:highlight w:val="none"/>
        </w:rPr>
        <w:t>2</w:t>
      </w:r>
      <w:r>
        <w:rPr>
          <w:rFonts w:hint="eastAsia" w:ascii="Times New Roman" w:hAnsi="Times New Roman"/>
          <w:color w:val="auto"/>
          <w:highlight w:val="none"/>
        </w:rPr>
        <w:t xml:space="preserve"> 推荐候选成交供应商排序要求及数量</w:t>
      </w:r>
      <w:bookmarkEnd w:id="333"/>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评审小组应在</w:t>
      </w:r>
      <w:r>
        <w:rPr>
          <w:rFonts w:ascii="Times New Roman" w:hAnsi="Times New Roman"/>
          <w:color w:val="auto"/>
          <w:highlight w:val="none"/>
        </w:rPr>
        <w:t>书面</w:t>
      </w:r>
      <w:r>
        <w:rPr>
          <w:rFonts w:hint="eastAsia" w:ascii="Times New Roman" w:hAnsi="Times New Roman"/>
          <w:color w:val="auto"/>
          <w:highlight w:val="none"/>
        </w:rPr>
        <w:t>评审</w:t>
      </w:r>
      <w:r>
        <w:rPr>
          <w:rFonts w:ascii="Times New Roman" w:hAnsi="Times New Roman"/>
          <w:color w:val="auto"/>
          <w:highlight w:val="none"/>
        </w:rPr>
        <w:t>报告</w:t>
      </w:r>
      <w:r>
        <w:rPr>
          <w:rFonts w:hint="eastAsia" w:ascii="Times New Roman" w:hAnsi="Times New Roman"/>
          <w:color w:val="auto"/>
          <w:highlight w:val="none"/>
        </w:rPr>
        <w:t>中</w:t>
      </w:r>
      <w:r>
        <w:rPr>
          <w:rFonts w:ascii="Times New Roman" w:hAnsi="Times New Roman"/>
          <w:color w:val="auto"/>
          <w:highlight w:val="none"/>
        </w:rPr>
        <w:t>按照</w:t>
      </w:r>
      <w:r>
        <w:rPr>
          <w:rFonts w:hint="eastAsia" w:ascii="Times New Roman" w:hAnsi="Times New Roman"/>
          <w:color w:val="auto"/>
          <w:highlight w:val="none"/>
        </w:rPr>
        <w:t>供应商排列</w:t>
      </w:r>
      <w:r>
        <w:rPr>
          <w:rFonts w:ascii="Times New Roman" w:hAnsi="Times New Roman"/>
          <w:color w:val="auto"/>
          <w:highlight w:val="none"/>
        </w:rPr>
        <w:t>的</w:t>
      </w:r>
      <w:r>
        <w:rPr>
          <w:rFonts w:hint="eastAsia" w:ascii="Times New Roman" w:hAnsi="Times New Roman"/>
          <w:color w:val="auto"/>
          <w:highlight w:val="none"/>
        </w:rPr>
        <w:t>优先</w:t>
      </w:r>
      <w:r>
        <w:rPr>
          <w:rFonts w:ascii="Times New Roman" w:hAnsi="Times New Roman"/>
          <w:color w:val="auto"/>
          <w:highlight w:val="none"/>
        </w:rPr>
        <w:t>顺序向</w:t>
      </w:r>
      <w:r>
        <w:rPr>
          <w:rFonts w:hint="eastAsia" w:ascii="Times New Roman" w:hAnsi="Times New Roman"/>
          <w:color w:val="auto"/>
          <w:highlight w:val="none"/>
        </w:rPr>
        <w:t>采购人</w:t>
      </w:r>
      <w:r>
        <w:rPr>
          <w:rFonts w:ascii="Times New Roman" w:hAnsi="Times New Roman"/>
          <w:color w:val="auto"/>
          <w:highlight w:val="none"/>
        </w:rPr>
        <w:t>推荐</w:t>
      </w:r>
      <w:r>
        <w:rPr>
          <w:rFonts w:hint="eastAsia" w:ascii="Times New Roman" w:hAnsi="Times New Roman"/>
          <w:color w:val="auto"/>
          <w:highlight w:val="none"/>
        </w:rPr>
        <w:t>候选成交供应商（排序或不排序）</w:t>
      </w:r>
      <w:r>
        <w:rPr>
          <w:rFonts w:ascii="Times New Roman" w:hAnsi="Times New Roman"/>
          <w:color w:val="auto"/>
          <w:highlight w:val="none"/>
        </w:rPr>
        <w:t>。</w:t>
      </w:r>
      <w:r>
        <w:rPr>
          <w:rFonts w:hint="eastAsia" w:ascii="Times New Roman" w:hAnsi="Times New Roman"/>
          <w:color w:val="auto"/>
          <w:highlight w:val="none"/>
        </w:rPr>
        <w:t>候选成交供应商的排序要求及数量见</w:t>
      </w:r>
      <w:r>
        <w:rPr>
          <w:rFonts w:hint="eastAsia" w:ascii="黑体" w:hAnsi="黑体" w:eastAsia="黑体" w:cs="黑体"/>
          <w:iCs/>
          <w:color w:val="auto"/>
          <w:highlight w:val="none"/>
        </w:rPr>
        <w:t>第二章“供应商须知”</w:t>
      </w:r>
      <w:r>
        <w:rPr>
          <w:rFonts w:hint="eastAsia" w:ascii="Times New Roman" w:hAnsi="Times New Roman"/>
          <w:color w:val="auto"/>
          <w:highlight w:val="none"/>
        </w:rPr>
        <w:t>。</w:t>
      </w:r>
    </w:p>
    <w:p>
      <w:pPr>
        <w:pStyle w:val="3"/>
        <w:rPr>
          <w:rFonts w:ascii="Times New Roman" w:hAnsi="Times New Roman"/>
          <w:color w:val="auto"/>
          <w:highlight w:val="none"/>
        </w:rPr>
      </w:pPr>
      <w:bookmarkStart w:id="334" w:name="_Toc1603"/>
      <w:r>
        <w:rPr>
          <w:rFonts w:hint="eastAsia" w:ascii="Times New Roman" w:hAnsi="Times New Roman"/>
          <w:color w:val="auto"/>
          <w:highlight w:val="none"/>
        </w:rPr>
        <w:t>5.</w:t>
      </w:r>
      <w:r>
        <w:rPr>
          <w:rFonts w:ascii="Times New Roman" w:hAnsi="Times New Roman"/>
          <w:color w:val="auto"/>
          <w:highlight w:val="none"/>
        </w:rPr>
        <w:t xml:space="preserve"> </w:t>
      </w:r>
      <w:r>
        <w:rPr>
          <w:rFonts w:hint="eastAsia" w:ascii="Times New Roman" w:hAnsi="Times New Roman"/>
          <w:color w:val="auto"/>
          <w:highlight w:val="none"/>
        </w:rPr>
        <w:t>直接转换采购方式评审程序</w:t>
      </w:r>
      <w:bookmarkEnd w:id="334"/>
    </w:p>
    <w:p>
      <w:pPr>
        <w:pStyle w:val="4"/>
        <w:spacing w:line="240" w:lineRule="auto"/>
        <w:ind w:firstLine="137"/>
        <w:rPr>
          <w:rFonts w:ascii="Times New Roman" w:hAnsi="Times New Roman"/>
          <w:color w:val="auto"/>
          <w:highlight w:val="none"/>
        </w:rPr>
      </w:pPr>
      <w:bookmarkStart w:id="335" w:name="_Toc7146"/>
      <w:r>
        <w:rPr>
          <w:rFonts w:hint="eastAsia" w:ascii="Times New Roman" w:hAnsi="Times New Roman"/>
          <w:color w:val="auto"/>
          <w:highlight w:val="none"/>
        </w:rPr>
        <w:t>5.1 初步评审</w:t>
      </w:r>
      <w:bookmarkEnd w:id="335"/>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5</w:t>
      </w: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.1</w:t>
      </w:r>
      <w:r>
        <w:rPr>
          <w:rFonts w:hint="eastAsia" w:ascii="Times New Roman" w:hAnsi="Times New Roman"/>
          <w:color w:val="auto"/>
          <w:highlight w:val="none"/>
        </w:rPr>
        <w:t xml:space="preserve"> 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5</w:t>
      </w: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w:t>
      </w:r>
      <w:r>
        <w:rPr>
          <w:rFonts w:hint="eastAsia" w:ascii="Times New Roman" w:hAnsi="Times New Roman"/>
          <w:color w:val="auto"/>
          <w:highlight w:val="none"/>
        </w:rPr>
        <w:t>2 响应文件的形式或供应商资格不符合采购文件的要求、响应文件未实质性响应采购文件的要求，或响应文件中有含义不明确、同类问题表述不一致或有明显文字和计算错误的内容，评审小组应要求供应商在规定时间内进行澄清、说明和补正。供应商澄清、说明和补正的内容应由法定代表人（单位负责人）或其授权的代理人签字或加盖单位章。澄清、说明和补正的内容作为响应文件的组成部分。</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5</w:t>
      </w: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w:t>
      </w:r>
      <w:r>
        <w:rPr>
          <w:rFonts w:hint="eastAsia" w:ascii="Times New Roman" w:hAnsi="Times New Roman"/>
          <w:color w:val="auto"/>
          <w:highlight w:val="none"/>
        </w:rPr>
        <w:t>3 只有形式评审和资格评审合格且实质性响应采购文件要求的供应商才可通过初步评审。经供应商澄清、说明和补正后仍未通过初步评审的响应文件将被视为无效，评审小组应告知有关供应商。</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5</w:t>
      </w: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w:t>
      </w:r>
      <w:r>
        <w:rPr>
          <w:rFonts w:hint="eastAsia" w:ascii="Times New Roman" w:hAnsi="Times New Roman"/>
          <w:color w:val="auto"/>
          <w:highlight w:val="none"/>
        </w:rPr>
        <w:t>4 当通过初步评审的供应商数量大于询比采购公告/询比采购邀请书第1.6款规定的成交供应商数量时，可以改为参照谈判方式继续评审选择成交供应商。</w:t>
      </w:r>
    </w:p>
    <w:p>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当通过初步评审的供应商数量等于询比采购公告/询比采购邀请书第1.6款规定的成交供应商数量时，可以改为参照直接采购方式继续评审选择成交供应商。</w:t>
      </w:r>
    </w:p>
    <w:bookmarkEnd w:id="324"/>
    <w:p>
      <w:pPr>
        <w:spacing w:line="400" w:lineRule="exact"/>
        <w:ind w:firstLine="420" w:firstLineChars="200"/>
        <w:rPr>
          <w:rFonts w:hint="eastAsia" w:ascii="Times New Roman" w:hAnsi="Times New Roman"/>
          <w:color w:val="auto"/>
          <w:highlight w:val="none"/>
        </w:rPr>
      </w:pPr>
      <w:bookmarkStart w:id="336" w:name="_Toc501460733"/>
      <w:r>
        <w:rPr>
          <w:rFonts w:hint="eastAsia" w:ascii="Times New Roman" w:hAnsi="Times New Roman"/>
          <w:color w:val="auto"/>
          <w:highlight w:val="none"/>
        </w:rPr>
        <w:t>当询比采购公告/询比采购邀请书第1.6款选择多家成交供应商时，通过初步评审的供应商数量小于约定成交供应商数量且大于等于一家的，可以改为参照直接采购方式继续评审选择一部分成交供应商，或者终止全部采购，重新组织采购选择选择全部成交供应商。</w:t>
      </w:r>
    </w:p>
    <w:p>
      <w:pPr>
        <w:spacing w:line="400" w:lineRule="exact"/>
        <w:ind w:firstLine="420" w:firstLineChars="200"/>
        <w:rPr>
          <w:rFonts w:hint="eastAsia" w:ascii="Times New Roman" w:hAnsi="Times New Roman"/>
          <w:color w:val="auto"/>
          <w:highlight w:val="none"/>
        </w:rPr>
      </w:pPr>
      <w:r>
        <w:rPr>
          <w:rFonts w:ascii="Times New Roman" w:hAnsi="Times New Roman"/>
          <w:color w:val="auto"/>
          <w:highlight w:val="none"/>
        </w:rPr>
        <w:t>初步评审后</w:t>
      </w:r>
      <w:r>
        <w:rPr>
          <w:rFonts w:hint="eastAsia" w:ascii="Times New Roman" w:hAnsi="Times New Roman"/>
          <w:color w:val="auto"/>
          <w:highlight w:val="none"/>
        </w:rPr>
        <w:t>，</w:t>
      </w:r>
      <w:r>
        <w:rPr>
          <w:rFonts w:ascii="Times New Roman" w:hAnsi="Times New Roman"/>
          <w:color w:val="auto"/>
          <w:highlight w:val="none"/>
        </w:rPr>
        <w:t>当所有响应文件均无效时</w:t>
      </w:r>
      <w:r>
        <w:rPr>
          <w:rFonts w:hint="eastAsia" w:ascii="Times New Roman" w:hAnsi="Times New Roman"/>
          <w:color w:val="auto"/>
          <w:highlight w:val="none"/>
        </w:rPr>
        <w:t>，</w:t>
      </w:r>
      <w:r>
        <w:rPr>
          <w:rFonts w:ascii="Times New Roman" w:hAnsi="Times New Roman"/>
          <w:color w:val="auto"/>
          <w:highlight w:val="none"/>
        </w:rPr>
        <w:t>应重新组织采购</w:t>
      </w:r>
      <w:r>
        <w:rPr>
          <w:rFonts w:hint="eastAsia" w:ascii="Times New Roman" w:hAnsi="Times New Roman"/>
          <w:color w:val="auto"/>
          <w:highlight w:val="none"/>
        </w:rPr>
        <w:t>。</w:t>
      </w:r>
    </w:p>
    <w:p>
      <w:pPr>
        <w:pStyle w:val="4"/>
        <w:spacing w:line="240" w:lineRule="auto"/>
        <w:ind w:firstLine="137"/>
        <w:rPr>
          <w:rFonts w:ascii="Times New Roman" w:hAnsi="Times New Roman"/>
          <w:color w:val="auto"/>
          <w:highlight w:val="none"/>
        </w:rPr>
      </w:pPr>
      <w:bookmarkStart w:id="337" w:name="_Toc29857"/>
      <w:r>
        <w:rPr>
          <w:rFonts w:hint="eastAsia" w:ascii="Times New Roman" w:hAnsi="Times New Roman"/>
          <w:color w:val="auto"/>
          <w:highlight w:val="none"/>
        </w:rPr>
        <w:t>5.2 转换采购方式</w:t>
      </w:r>
      <w:bookmarkEnd w:id="337"/>
    </w:p>
    <w:p>
      <w:pPr>
        <w:spacing w:line="400" w:lineRule="exact"/>
        <w:ind w:firstLine="420" w:firstLineChars="200"/>
        <w:rPr>
          <w:rFonts w:hint="eastAsia" w:ascii="Times New Roman" w:hAnsi="Times New Roman"/>
          <w:color w:val="auto"/>
          <w:highlight w:val="none"/>
        </w:rPr>
      </w:pPr>
      <w:r>
        <w:rPr>
          <w:rFonts w:ascii="Times New Roman" w:hAnsi="Times New Roman"/>
          <w:color w:val="auto"/>
          <w:highlight w:val="none"/>
        </w:rPr>
        <w:t>5.</w:t>
      </w:r>
      <w:r>
        <w:rPr>
          <w:rFonts w:hint="eastAsia" w:ascii="Times New Roman" w:hAnsi="Times New Roman"/>
          <w:color w:val="auto"/>
          <w:highlight w:val="none"/>
        </w:rPr>
        <w:t>2</w:t>
      </w:r>
      <w:r>
        <w:rPr>
          <w:rFonts w:ascii="Times New Roman" w:hAnsi="Times New Roman"/>
          <w:color w:val="auto"/>
          <w:highlight w:val="none"/>
        </w:rPr>
        <w:t>.1</w:t>
      </w:r>
      <w:r>
        <w:rPr>
          <w:rFonts w:hint="eastAsia" w:ascii="Times New Roman" w:hAnsi="Times New Roman"/>
          <w:color w:val="auto"/>
          <w:highlight w:val="none"/>
        </w:rPr>
        <w:t xml:space="preserve"> 参照谈判采购方式评审</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（1）谈判。</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1）评审小组应按照供应商递交响应文件的顺序或评审小组抽签确定的顺序与通过初步评审的供应商逐一进行谈判。评审小组可以根据谈判情况决定谈判轮次，并给予所有参加谈判的供应商平等的谈判机会。在谈判过程中，评审小组可根据谈判情况修改和补充采购文件中的非实质性内容，但不得改变评审标准或可能影响初步评审结果的内容。</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2）供应商的法定代表人（单位负责人）或其授权的代理人应按照</w:t>
      </w:r>
      <w:r>
        <w:rPr>
          <w:rFonts w:hint="eastAsia" w:ascii="Times New Roman" w:hAnsi="Times New Roman"/>
          <w:color w:val="auto"/>
          <w:highlight w:val="none"/>
          <w:lang w:val="en-US" w:eastAsia="zh-CN"/>
        </w:rPr>
        <w:t>评审</w:t>
      </w:r>
      <w:r>
        <w:rPr>
          <w:rFonts w:hint="eastAsia" w:ascii="Times New Roman" w:hAnsi="Times New Roman"/>
          <w:color w:val="auto"/>
          <w:highlight w:val="none"/>
        </w:rPr>
        <w:t>小组通知的时间和地点参加谈判。供应商的法定代表人（单位负责人）或其授权的代理人在谈判中作出的承诺构成响应文件的组成部分。</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3）谈判结束后，评审小组将要求所有参加谈判的供应商在规定时间内递交最终报价。最终报价应由供应商的法定代表人（单位负责人）或其授权的代理人签字或加盖单位章。最终报价是供应商响应文件的组成部分。</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（2）公开开启最终报价。</w:t>
      </w:r>
    </w:p>
    <w:p>
      <w:pPr>
        <w:spacing w:line="400" w:lineRule="exact"/>
        <w:ind w:firstLine="420" w:firstLineChars="200"/>
        <w:rPr>
          <w:rFonts w:hint="eastAsia" w:ascii="Times New Roman" w:hAnsi="Times New Roman"/>
          <w:color w:val="auto"/>
          <w:highlight w:val="none"/>
        </w:rPr>
      </w:pPr>
      <w:r>
        <w:rPr>
          <w:rFonts w:ascii="Times New Roman" w:hAnsi="Times New Roman"/>
          <w:color w:val="auto"/>
          <w:highlight w:val="none"/>
        </w:rPr>
        <w:t>评审小组将在递交最终报价的截止时间公开开启最终报价</w:t>
      </w:r>
      <w:r>
        <w:rPr>
          <w:rFonts w:hint="eastAsia" w:ascii="Times New Roman" w:hAnsi="Times New Roman"/>
          <w:color w:val="auto"/>
          <w:highlight w:val="none"/>
        </w:rPr>
        <w:t>，</w:t>
      </w:r>
      <w:r>
        <w:rPr>
          <w:rFonts w:ascii="Times New Roman" w:hAnsi="Times New Roman"/>
          <w:color w:val="auto"/>
          <w:highlight w:val="none"/>
        </w:rPr>
        <w:t>供应商未派代表参加开启会议的</w:t>
      </w:r>
      <w:r>
        <w:rPr>
          <w:rFonts w:hint="eastAsia" w:ascii="Times New Roman" w:hAnsi="Times New Roman"/>
          <w:color w:val="auto"/>
          <w:highlight w:val="none"/>
        </w:rPr>
        <w:t>，</w:t>
      </w:r>
      <w:r>
        <w:rPr>
          <w:rFonts w:ascii="Times New Roman" w:hAnsi="Times New Roman"/>
          <w:color w:val="auto"/>
          <w:highlight w:val="none"/>
        </w:rPr>
        <w:t>视为默认开启结果</w:t>
      </w:r>
      <w:r>
        <w:rPr>
          <w:rFonts w:hint="eastAsia" w:ascii="Times New Roman" w:hAnsi="Times New Roman"/>
          <w:color w:val="auto"/>
          <w:highlight w:val="none"/>
        </w:rPr>
        <w:t>。</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（3）详细评审。</w:t>
      </w:r>
    </w:p>
    <w:p>
      <w:pPr>
        <w:spacing w:line="400" w:lineRule="exact"/>
        <w:ind w:firstLine="420" w:firstLineChars="200"/>
        <w:rPr>
          <w:rFonts w:hint="eastAsia" w:ascii="Times New Roman" w:hAnsi="Times New Roman"/>
          <w:color w:val="auto"/>
          <w:highlight w:val="none"/>
        </w:rPr>
      </w:pPr>
      <w:r>
        <w:rPr>
          <w:rFonts w:ascii="Times New Roman" w:hAnsi="Times New Roman"/>
          <w:color w:val="auto"/>
          <w:highlight w:val="none"/>
        </w:rPr>
        <w:t>评审小组将按本章第</w:t>
      </w:r>
      <w:r>
        <w:rPr>
          <w:rFonts w:hint="eastAsia" w:ascii="Times New Roman" w:hAnsi="Times New Roman"/>
          <w:color w:val="auto"/>
          <w:highlight w:val="none"/>
        </w:rPr>
        <w:t>3条规定对响应文件及其最终报价进行详细评审。采用综合评分法的，评审小组有权对本章第3.2款规定的评审基准价和第3.3（3）项规定的报价评分标准进行调整，但评审小组应在谈判开始前向供应商公布，未公布的，视为评审基准价和报价评分标准不作调整；详细评审标准中除报价评审标准外的其他评审标准不作调整。</w:t>
      </w:r>
    </w:p>
    <w:p>
      <w:pPr>
        <w:spacing w:line="400" w:lineRule="exact"/>
        <w:ind w:firstLine="420" w:firstLineChars="200"/>
        <w:rPr>
          <w:rFonts w:hint="eastAsia" w:ascii="Times New Roman" w:hAnsi="Times New Roman"/>
          <w:color w:val="auto"/>
          <w:highlight w:val="none"/>
        </w:rPr>
      </w:pPr>
      <w:r>
        <w:rPr>
          <w:rFonts w:ascii="Times New Roman" w:hAnsi="Times New Roman"/>
          <w:color w:val="auto"/>
          <w:highlight w:val="none"/>
        </w:rPr>
        <w:t>通过谈判后</w:t>
      </w:r>
      <w:r>
        <w:rPr>
          <w:rFonts w:hint="eastAsia" w:ascii="Times New Roman" w:hAnsi="Times New Roman"/>
          <w:color w:val="auto"/>
          <w:highlight w:val="none"/>
        </w:rPr>
        <w:t>，</w:t>
      </w:r>
      <w:r>
        <w:rPr>
          <w:rFonts w:ascii="Times New Roman" w:hAnsi="Times New Roman"/>
          <w:color w:val="auto"/>
          <w:highlight w:val="none"/>
        </w:rPr>
        <w:t>评审小组认为所有供应商的最终报价仍然不合理的</w:t>
      </w:r>
      <w:r>
        <w:rPr>
          <w:rFonts w:hint="eastAsia" w:ascii="Times New Roman" w:hAnsi="Times New Roman"/>
          <w:color w:val="auto"/>
          <w:highlight w:val="none"/>
        </w:rPr>
        <w:t>，</w:t>
      </w:r>
      <w:r>
        <w:rPr>
          <w:rFonts w:ascii="Times New Roman" w:hAnsi="Times New Roman"/>
          <w:color w:val="auto"/>
          <w:highlight w:val="none"/>
        </w:rPr>
        <w:t>应向采购人提出终止采购建议</w:t>
      </w:r>
      <w:r>
        <w:rPr>
          <w:rFonts w:hint="eastAsia" w:ascii="Times New Roman" w:hAnsi="Times New Roman"/>
          <w:color w:val="auto"/>
          <w:highlight w:val="none"/>
        </w:rPr>
        <w:t>。</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（4）编写评审报告。</w:t>
      </w:r>
    </w:p>
    <w:p>
      <w:pPr>
        <w:spacing w:line="400" w:lineRule="exact"/>
        <w:ind w:firstLine="420" w:firstLineChars="200"/>
        <w:rPr>
          <w:rFonts w:hint="eastAsia" w:ascii="Times New Roman" w:hAnsi="Times New Roman"/>
          <w:color w:val="auto"/>
          <w:highlight w:val="none"/>
        </w:rPr>
      </w:pPr>
      <w:r>
        <w:rPr>
          <w:rFonts w:ascii="Times New Roman" w:hAnsi="Times New Roman"/>
          <w:color w:val="auto"/>
          <w:highlight w:val="none"/>
        </w:rPr>
        <w:t>评审小组按本章第</w:t>
      </w:r>
      <w:r>
        <w:rPr>
          <w:rFonts w:hint="eastAsia" w:ascii="Times New Roman" w:hAnsi="Times New Roman"/>
          <w:color w:val="auto"/>
          <w:highlight w:val="none"/>
        </w:rPr>
        <w:t>4.2款规定推荐候选成交供应商或按本章第5.2.1（3）项规定提出终止采购建议，并向采购人提交书面评审报告。</w:t>
      </w:r>
    </w:p>
    <w:p>
      <w:pPr>
        <w:spacing w:line="400" w:lineRule="exact"/>
        <w:ind w:firstLine="420" w:firstLineChars="200"/>
        <w:rPr>
          <w:rFonts w:hint="eastAsia" w:ascii="Times New Roman" w:hAnsi="Times New Roman"/>
          <w:color w:val="auto"/>
          <w:highlight w:val="none"/>
        </w:rPr>
      </w:pPr>
      <w:r>
        <w:rPr>
          <w:rFonts w:ascii="Times New Roman" w:hAnsi="Times New Roman"/>
          <w:color w:val="auto"/>
          <w:highlight w:val="none"/>
        </w:rPr>
        <w:t>5.</w:t>
      </w:r>
      <w:r>
        <w:rPr>
          <w:rFonts w:hint="eastAsia" w:ascii="Times New Roman" w:hAnsi="Times New Roman"/>
          <w:color w:val="auto"/>
          <w:highlight w:val="none"/>
        </w:rPr>
        <w:t>2</w:t>
      </w:r>
      <w:r>
        <w:rPr>
          <w:rFonts w:ascii="Times New Roman" w:hAnsi="Times New Roman"/>
          <w:color w:val="auto"/>
          <w:highlight w:val="none"/>
        </w:rPr>
        <w:t>.</w:t>
      </w:r>
      <w:r>
        <w:rPr>
          <w:rFonts w:hint="eastAsia" w:ascii="Times New Roman" w:hAnsi="Times New Roman"/>
          <w:color w:val="auto"/>
          <w:highlight w:val="none"/>
        </w:rPr>
        <w:t>2 参照直接采购方式评审</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（1）谈判.</w:t>
      </w:r>
    </w:p>
    <w:p>
      <w:pPr>
        <w:spacing w:line="400" w:lineRule="exact"/>
        <w:ind w:firstLine="420" w:firstLineChars="200"/>
        <w:rPr>
          <w:rFonts w:hint="eastAsia" w:ascii="Times New Roman" w:hAnsi="Times New Roman"/>
          <w:color w:val="auto"/>
          <w:highlight w:val="none"/>
        </w:rPr>
      </w:pPr>
      <w:r>
        <w:rPr>
          <w:rFonts w:ascii="Times New Roman" w:hAnsi="Times New Roman"/>
          <w:color w:val="auto"/>
          <w:highlight w:val="none"/>
        </w:rPr>
        <w:t>评审小组所有成员集中与供应商进行谈判</w:t>
      </w:r>
      <w:r>
        <w:rPr>
          <w:rFonts w:hint="eastAsia" w:ascii="Times New Roman" w:hAnsi="Times New Roman"/>
          <w:color w:val="auto"/>
          <w:highlight w:val="none"/>
        </w:rPr>
        <w:t>，供应商的法定代表人（单位负责人）或其授权的代理人应参加谈判。在谈判过程中，评审小组可根据谈判情况修改和补充采购文件的非实质性内容，但不得改变可能影响初步评审结果的内容。供应商的法定代表人（单位负责人）或其授权的代理人在谈判中作出的承诺构成响应文件的组成部分。评审小组可根据需要，安排多轮谈判。</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（2）详细评审。</w:t>
      </w:r>
    </w:p>
    <w:p>
      <w:pPr>
        <w:spacing w:line="400" w:lineRule="exact"/>
        <w:ind w:firstLine="420" w:firstLineChars="200"/>
        <w:rPr>
          <w:rFonts w:hint="eastAsia" w:ascii="Times New Roman" w:hAnsi="Times New Roman"/>
          <w:color w:val="auto"/>
          <w:highlight w:val="none"/>
        </w:rPr>
      </w:pPr>
      <w:r>
        <w:rPr>
          <w:rFonts w:ascii="Times New Roman" w:hAnsi="Times New Roman"/>
          <w:color w:val="auto"/>
          <w:highlight w:val="none"/>
        </w:rPr>
        <w:t>评审小组通过对采购成本</w:t>
      </w:r>
      <w:r>
        <w:rPr>
          <w:rFonts w:hint="eastAsia" w:ascii="Times New Roman" w:hAnsi="Times New Roman"/>
          <w:color w:val="auto"/>
          <w:highlight w:val="none"/>
        </w:rPr>
        <w:t>、</w:t>
      </w:r>
      <w:r>
        <w:rPr>
          <w:rFonts w:ascii="Times New Roman" w:hAnsi="Times New Roman"/>
          <w:color w:val="auto"/>
          <w:highlight w:val="none"/>
        </w:rPr>
        <w:t>供应能力</w:t>
      </w:r>
      <w:r>
        <w:rPr>
          <w:rFonts w:hint="eastAsia" w:ascii="Times New Roman" w:hAnsi="Times New Roman"/>
          <w:color w:val="auto"/>
          <w:highlight w:val="none"/>
        </w:rPr>
        <w:t>、</w:t>
      </w:r>
      <w:r>
        <w:rPr>
          <w:rFonts w:ascii="Times New Roman" w:hAnsi="Times New Roman"/>
          <w:color w:val="auto"/>
          <w:highlight w:val="none"/>
        </w:rPr>
        <w:t>风险管控</w:t>
      </w:r>
      <w:r>
        <w:rPr>
          <w:rFonts w:hint="eastAsia" w:ascii="Times New Roman" w:hAnsi="Times New Roman"/>
          <w:color w:val="auto"/>
          <w:highlight w:val="none"/>
        </w:rPr>
        <w:t>、</w:t>
      </w:r>
      <w:r>
        <w:rPr>
          <w:rFonts w:ascii="Times New Roman" w:hAnsi="Times New Roman"/>
          <w:color w:val="auto"/>
          <w:highlight w:val="none"/>
        </w:rPr>
        <w:t>采购目标等的分析</w:t>
      </w:r>
      <w:r>
        <w:rPr>
          <w:rFonts w:hint="eastAsia" w:ascii="Times New Roman" w:hAnsi="Times New Roman"/>
          <w:color w:val="auto"/>
          <w:highlight w:val="none"/>
        </w:rPr>
        <w:t>，</w:t>
      </w:r>
      <w:r>
        <w:rPr>
          <w:rFonts w:ascii="Times New Roman" w:hAnsi="Times New Roman"/>
          <w:color w:val="auto"/>
          <w:highlight w:val="none"/>
        </w:rPr>
        <w:t>对供应商拟提供标的的技术</w:t>
      </w:r>
      <w:r>
        <w:rPr>
          <w:rFonts w:hint="eastAsia" w:ascii="Times New Roman" w:hAnsi="Times New Roman"/>
          <w:color w:val="auto"/>
          <w:highlight w:val="none"/>
        </w:rPr>
        <w:t>、</w:t>
      </w:r>
      <w:r>
        <w:rPr>
          <w:rFonts w:ascii="Times New Roman" w:hAnsi="Times New Roman"/>
          <w:color w:val="auto"/>
          <w:highlight w:val="none"/>
        </w:rPr>
        <w:t>商务进行物有所值综合评价</w:t>
      </w:r>
      <w:r>
        <w:rPr>
          <w:rFonts w:hint="eastAsia" w:ascii="Times New Roman" w:hAnsi="Times New Roman"/>
          <w:color w:val="auto"/>
          <w:highlight w:val="none"/>
        </w:rPr>
        <w:t>。</w:t>
      </w:r>
    </w:p>
    <w:p>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（3）编写评审报告。</w:t>
      </w:r>
    </w:p>
    <w:p>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评审小组根据预期的谈判目标综合谈判纪要编写评审报告</w:t>
      </w:r>
      <w:r>
        <w:rPr>
          <w:rFonts w:hint="eastAsia" w:ascii="Times New Roman" w:hAnsi="Times New Roman"/>
          <w:color w:val="auto"/>
          <w:highlight w:val="none"/>
        </w:rPr>
        <w:t>，</w:t>
      </w:r>
      <w:r>
        <w:rPr>
          <w:rFonts w:ascii="Times New Roman" w:hAnsi="Times New Roman"/>
          <w:color w:val="auto"/>
          <w:highlight w:val="none"/>
        </w:rPr>
        <w:t>推荐候选成交供应商或提出谈判终止建议</w:t>
      </w:r>
      <w:r>
        <w:rPr>
          <w:rFonts w:hint="eastAsia" w:ascii="Times New Roman" w:hAnsi="Times New Roman"/>
          <w:color w:val="auto"/>
          <w:highlight w:val="none"/>
        </w:rPr>
        <w:t>。</w:t>
      </w:r>
    </w:p>
    <w:p>
      <w:pPr>
        <w:rPr>
          <w:color w:val="auto"/>
          <w:highlight w:val="none"/>
        </w:rPr>
      </w:pPr>
      <w:r>
        <w:rPr>
          <w:color w:val="auto"/>
          <w:highlight w:val="none"/>
        </w:rPr>
        <w:br w:type="page"/>
      </w:r>
    </w:p>
    <w:p>
      <w:pPr>
        <w:pStyle w:val="2"/>
        <w:numPr>
          <w:ilvl w:val="0"/>
          <w:numId w:val="2"/>
        </w:numPr>
        <w:jc w:val="center"/>
        <w:rPr>
          <w:rFonts w:hint="eastAsia"/>
          <w:color w:val="auto"/>
          <w:highlight w:val="none"/>
        </w:rPr>
      </w:pPr>
      <w:bookmarkStart w:id="338" w:name="_Toc29164"/>
      <w:r>
        <w:rPr>
          <w:rFonts w:hint="eastAsia"/>
          <w:color w:val="auto"/>
          <w:highlight w:val="none"/>
        </w:rPr>
        <w:t xml:space="preserve"> </w:t>
      </w:r>
      <w:r>
        <w:rPr>
          <w:color w:val="auto"/>
          <w:highlight w:val="none"/>
        </w:rPr>
        <w:t>合同</w:t>
      </w:r>
      <w:bookmarkEnd w:id="336"/>
      <w:r>
        <w:rPr>
          <w:rFonts w:hint="eastAsia"/>
          <w:color w:val="auto"/>
          <w:highlight w:val="none"/>
        </w:rPr>
        <w:t>条款及格式</w:t>
      </w:r>
      <w:bookmarkEnd w:id="338"/>
    </w:p>
    <w:p>
      <w:pPr>
        <w:pStyle w:val="2"/>
        <w:numPr>
          <w:ilvl w:val="0"/>
          <w:numId w:val="2"/>
        </w:numPr>
        <w:jc w:val="center"/>
        <w:rPr>
          <w:rFonts w:hint="eastAsia"/>
          <w:i/>
          <w:iCs/>
          <w:color w:val="auto"/>
          <w:sz w:val="24"/>
          <w:szCs w:val="24"/>
          <w:highlight w:val="none"/>
        </w:rPr>
      </w:pPr>
      <w:r>
        <w:rPr>
          <w:rFonts w:hint="eastAsia"/>
          <w:i/>
          <w:iCs/>
          <w:color w:val="auto"/>
          <w:sz w:val="24"/>
          <w:szCs w:val="24"/>
          <w:highlight w:val="none"/>
        </w:rPr>
        <w:t>（</w:t>
      </w:r>
      <w:r>
        <w:rPr>
          <w:rFonts w:hint="eastAsia"/>
          <w:i/>
          <w:iCs/>
          <w:color w:val="auto"/>
          <w:sz w:val="24"/>
          <w:szCs w:val="24"/>
          <w:highlight w:val="none"/>
          <w:lang w:val="en-US" w:eastAsia="zh-CN"/>
        </w:rPr>
        <w:t>仅供参考</w:t>
      </w:r>
      <w:r>
        <w:rPr>
          <w:rFonts w:hint="eastAsia"/>
          <w:i/>
          <w:iCs/>
          <w:color w:val="auto"/>
          <w:sz w:val="24"/>
          <w:szCs w:val="24"/>
          <w:highlight w:val="none"/>
        </w:rPr>
        <w:t>）</w:t>
      </w:r>
    </w:p>
    <w:p>
      <w:pPr>
        <w:pStyle w:val="3"/>
        <w:ind w:firstLine="3534" w:firstLineChars="1100"/>
        <w:jc w:val="both"/>
        <w:rPr>
          <w:rFonts w:hint="eastAsia" w:ascii="Times New Roman" w:hAnsi="Times New Roman"/>
          <w:color w:val="auto"/>
          <w:highlight w:val="none"/>
        </w:rPr>
      </w:pPr>
      <w:bookmarkStart w:id="339" w:name="_Toc153397840"/>
      <w:bookmarkStart w:id="340" w:name="_Toc15928646"/>
      <w:r>
        <w:rPr>
          <w:rFonts w:hint="eastAsia" w:ascii="Times New Roman" w:hAnsi="Times New Roman"/>
          <w:color w:val="auto"/>
          <w:highlight w:val="none"/>
        </w:rPr>
        <w:t>购销</w:t>
      </w:r>
      <w:r>
        <w:rPr>
          <w:rFonts w:ascii="Times New Roman" w:hAnsi="Times New Roman"/>
          <w:color w:val="auto"/>
          <w:highlight w:val="none"/>
        </w:rPr>
        <w:t>合同</w:t>
      </w:r>
      <w:bookmarkEnd w:id="339"/>
      <w:bookmarkEnd w:id="340"/>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甲方（买方）：</w:t>
      </w:r>
    </w:p>
    <w:p>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乙方（卖方）：</w:t>
      </w:r>
    </w:p>
    <w:p>
      <w:pPr>
        <w:spacing w:line="360" w:lineRule="auto"/>
        <w:rPr>
          <w:rFonts w:ascii="仿宋" w:hAnsi="仿宋" w:eastAsia="仿宋"/>
          <w:color w:val="auto"/>
          <w:sz w:val="24"/>
          <w:highlight w:val="none"/>
        </w:rPr>
      </w:pP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根据甲方组织的</w:t>
      </w:r>
      <w:r>
        <w:rPr>
          <w:rFonts w:hint="eastAsia" w:ascii="仿宋" w:hAnsi="仿宋" w:eastAsia="仿宋"/>
          <w:color w:val="auto"/>
          <w:sz w:val="24"/>
          <w:highlight w:val="none"/>
          <w:lang w:eastAsia="zh-CN"/>
        </w:rPr>
        <w:t>询比</w:t>
      </w:r>
      <w:r>
        <w:rPr>
          <w:rFonts w:hint="eastAsia" w:ascii="仿宋" w:hAnsi="仿宋" w:eastAsia="仿宋"/>
          <w:color w:val="auto"/>
          <w:sz w:val="24"/>
          <w:highlight w:val="none"/>
        </w:rPr>
        <w:t>采购活动确认的结果,确定下列产品由乙方供应。现甲乙双方在平等、自愿、诚信的基础上，经友好协商达成协议如下：</w:t>
      </w:r>
    </w:p>
    <w:p>
      <w:pPr>
        <w:keepNext/>
        <w:keepLines/>
        <w:numPr>
          <w:ilvl w:val="0"/>
          <w:numId w:val="0"/>
        </w:numPr>
        <w:spacing w:line="360" w:lineRule="auto"/>
        <w:ind w:left="360" w:leftChars="0" w:hanging="360" w:firstLineChars="0"/>
        <w:jc w:val="left"/>
        <w:outlineLvl w:val="2"/>
        <w:rPr>
          <w:rFonts w:ascii="仿宋" w:hAnsi="仿宋" w:eastAsia="仿宋"/>
          <w:bCs/>
          <w:color w:val="auto"/>
          <w:sz w:val="24"/>
          <w:highlight w:val="none"/>
        </w:rPr>
      </w:pPr>
      <w:r>
        <w:rPr>
          <w:rFonts w:hint="default" w:ascii="仿宋" w:hAnsi="仿宋" w:eastAsia="仿宋"/>
          <w:bCs/>
          <w:color w:val="auto"/>
          <w:kern w:val="2"/>
          <w:sz w:val="24"/>
          <w:szCs w:val="24"/>
          <w:highlight w:val="none"/>
          <w:lang w:val="en-US" w:eastAsia="zh-CN" w:bidi="ar-SA"/>
        </w:rPr>
        <w:t>1.</w:t>
      </w:r>
      <w:r>
        <w:rPr>
          <w:rFonts w:hint="eastAsia" w:ascii="仿宋" w:hAnsi="仿宋" w:eastAsia="仿宋"/>
          <w:bCs/>
          <w:color w:val="auto"/>
          <w:sz w:val="24"/>
          <w:highlight w:val="none"/>
        </w:rPr>
        <w:t>供货内容：（单位：元）</w:t>
      </w:r>
    </w:p>
    <w:tbl>
      <w:tblPr>
        <w:tblStyle w:val="36"/>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1418"/>
        <w:gridCol w:w="1274"/>
        <w:gridCol w:w="992"/>
        <w:gridCol w:w="851"/>
        <w:gridCol w:w="1844"/>
        <w:gridCol w:w="70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61" w:type="dxa"/>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产品名称</w:t>
            </w:r>
          </w:p>
        </w:tc>
        <w:tc>
          <w:tcPr>
            <w:tcW w:w="1418" w:type="dxa"/>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生产厂家/国别</w:t>
            </w:r>
          </w:p>
        </w:tc>
        <w:tc>
          <w:tcPr>
            <w:tcW w:w="1274" w:type="dxa"/>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规格型号</w:t>
            </w:r>
          </w:p>
        </w:tc>
        <w:tc>
          <w:tcPr>
            <w:tcW w:w="992" w:type="dxa"/>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单位</w:t>
            </w:r>
          </w:p>
        </w:tc>
        <w:tc>
          <w:tcPr>
            <w:tcW w:w="851" w:type="dxa"/>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单价</w:t>
            </w:r>
          </w:p>
        </w:tc>
        <w:tc>
          <w:tcPr>
            <w:tcW w:w="1844" w:type="dxa"/>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流水号（备案/交易</w:t>
            </w:r>
            <w:r>
              <w:rPr>
                <w:rFonts w:ascii="仿宋" w:hAnsi="仿宋" w:eastAsia="仿宋"/>
                <w:color w:val="auto"/>
                <w:sz w:val="24"/>
                <w:highlight w:val="none"/>
              </w:rPr>
              <w:t>）</w:t>
            </w:r>
          </w:p>
        </w:tc>
        <w:tc>
          <w:tcPr>
            <w:tcW w:w="708" w:type="dxa"/>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数量</w:t>
            </w:r>
          </w:p>
        </w:tc>
        <w:tc>
          <w:tcPr>
            <w:tcW w:w="850" w:type="dxa"/>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61" w:type="dxa"/>
            <w:vAlign w:val="center"/>
          </w:tcPr>
          <w:p>
            <w:pPr>
              <w:adjustRightInd w:val="0"/>
              <w:snapToGrid w:val="0"/>
              <w:spacing w:line="360" w:lineRule="auto"/>
              <w:jc w:val="center"/>
              <w:rPr>
                <w:rFonts w:ascii="仿宋" w:hAnsi="仿宋" w:eastAsia="仿宋" w:cs="宋体"/>
                <w:color w:val="auto"/>
                <w:sz w:val="24"/>
                <w:highlight w:val="none"/>
              </w:rPr>
            </w:pPr>
          </w:p>
        </w:tc>
        <w:tc>
          <w:tcPr>
            <w:tcW w:w="1418" w:type="dxa"/>
            <w:vAlign w:val="center"/>
          </w:tcPr>
          <w:p>
            <w:pPr>
              <w:adjustRightInd w:val="0"/>
              <w:snapToGrid w:val="0"/>
              <w:spacing w:line="360" w:lineRule="auto"/>
              <w:jc w:val="center"/>
              <w:rPr>
                <w:rFonts w:ascii="仿宋" w:hAnsi="仿宋" w:eastAsia="仿宋" w:cs="宋体"/>
                <w:color w:val="auto"/>
                <w:sz w:val="24"/>
                <w:highlight w:val="none"/>
              </w:rPr>
            </w:pPr>
          </w:p>
        </w:tc>
        <w:tc>
          <w:tcPr>
            <w:tcW w:w="1274" w:type="dxa"/>
            <w:vAlign w:val="center"/>
          </w:tcPr>
          <w:p>
            <w:pPr>
              <w:adjustRightInd w:val="0"/>
              <w:snapToGrid w:val="0"/>
              <w:spacing w:line="360" w:lineRule="auto"/>
              <w:jc w:val="center"/>
              <w:rPr>
                <w:rFonts w:ascii="仿宋" w:hAnsi="仿宋" w:eastAsia="仿宋" w:cs="宋体"/>
                <w:color w:val="auto"/>
                <w:sz w:val="24"/>
                <w:highlight w:val="none"/>
              </w:rPr>
            </w:pPr>
          </w:p>
        </w:tc>
        <w:tc>
          <w:tcPr>
            <w:tcW w:w="992" w:type="dxa"/>
            <w:vAlign w:val="center"/>
          </w:tcPr>
          <w:p>
            <w:pPr>
              <w:adjustRightInd w:val="0"/>
              <w:snapToGrid w:val="0"/>
              <w:spacing w:line="360" w:lineRule="auto"/>
              <w:jc w:val="center"/>
              <w:rPr>
                <w:rFonts w:ascii="仿宋" w:hAnsi="仿宋" w:eastAsia="仿宋"/>
                <w:color w:val="auto"/>
                <w:sz w:val="24"/>
                <w:highlight w:val="none"/>
              </w:rPr>
            </w:pPr>
          </w:p>
        </w:tc>
        <w:tc>
          <w:tcPr>
            <w:tcW w:w="851" w:type="dxa"/>
            <w:vAlign w:val="center"/>
          </w:tcPr>
          <w:p>
            <w:pPr>
              <w:adjustRightInd w:val="0"/>
              <w:snapToGrid w:val="0"/>
              <w:spacing w:line="360" w:lineRule="auto"/>
              <w:ind w:left="120" w:hanging="120" w:hangingChars="50"/>
              <w:jc w:val="center"/>
              <w:rPr>
                <w:rFonts w:ascii="仿宋" w:hAnsi="仿宋" w:eastAsia="仿宋"/>
                <w:color w:val="auto"/>
                <w:sz w:val="24"/>
                <w:highlight w:val="none"/>
              </w:rPr>
            </w:pPr>
          </w:p>
        </w:tc>
        <w:tc>
          <w:tcPr>
            <w:tcW w:w="1844" w:type="dxa"/>
            <w:vAlign w:val="center"/>
          </w:tcPr>
          <w:p>
            <w:pPr>
              <w:adjustRightInd w:val="0"/>
              <w:snapToGrid w:val="0"/>
              <w:spacing w:line="360" w:lineRule="auto"/>
              <w:jc w:val="center"/>
              <w:rPr>
                <w:rFonts w:ascii="仿宋" w:hAnsi="仿宋" w:eastAsia="仿宋" w:cs="宋体"/>
                <w:color w:val="auto"/>
                <w:sz w:val="24"/>
                <w:highlight w:val="none"/>
              </w:rPr>
            </w:pPr>
          </w:p>
        </w:tc>
        <w:tc>
          <w:tcPr>
            <w:tcW w:w="708" w:type="dxa"/>
            <w:vAlign w:val="center"/>
          </w:tcPr>
          <w:p>
            <w:pPr>
              <w:adjustRightInd w:val="0"/>
              <w:snapToGrid w:val="0"/>
              <w:spacing w:line="360" w:lineRule="auto"/>
              <w:jc w:val="center"/>
              <w:rPr>
                <w:rFonts w:ascii="仿宋" w:hAnsi="仿宋" w:eastAsia="仿宋"/>
                <w:color w:val="auto"/>
                <w:sz w:val="24"/>
                <w:highlight w:val="none"/>
              </w:rPr>
            </w:pPr>
          </w:p>
        </w:tc>
        <w:tc>
          <w:tcPr>
            <w:tcW w:w="850" w:type="dxa"/>
            <w:vAlign w:val="center"/>
          </w:tcPr>
          <w:p>
            <w:pPr>
              <w:adjustRightInd w:val="0"/>
              <w:snapToGrid w:val="0"/>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561" w:type="dxa"/>
            <w:vAlign w:val="center"/>
          </w:tcPr>
          <w:p>
            <w:pPr>
              <w:adjustRightInd w:val="0"/>
              <w:snapToGrid w:val="0"/>
              <w:spacing w:line="360" w:lineRule="auto"/>
              <w:jc w:val="center"/>
              <w:rPr>
                <w:rFonts w:ascii="仿宋" w:hAnsi="仿宋" w:eastAsia="仿宋" w:cs="宋体"/>
                <w:color w:val="auto"/>
                <w:sz w:val="24"/>
                <w:highlight w:val="none"/>
              </w:rPr>
            </w:pPr>
          </w:p>
        </w:tc>
        <w:tc>
          <w:tcPr>
            <w:tcW w:w="1418" w:type="dxa"/>
            <w:vAlign w:val="center"/>
          </w:tcPr>
          <w:p>
            <w:pPr>
              <w:adjustRightInd w:val="0"/>
              <w:snapToGrid w:val="0"/>
              <w:spacing w:line="360" w:lineRule="auto"/>
              <w:jc w:val="center"/>
              <w:rPr>
                <w:rFonts w:ascii="仿宋" w:hAnsi="仿宋" w:eastAsia="仿宋" w:cs="宋体"/>
                <w:color w:val="auto"/>
                <w:sz w:val="24"/>
                <w:highlight w:val="none"/>
              </w:rPr>
            </w:pPr>
          </w:p>
        </w:tc>
        <w:tc>
          <w:tcPr>
            <w:tcW w:w="1274" w:type="dxa"/>
            <w:vAlign w:val="center"/>
          </w:tcPr>
          <w:p>
            <w:pPr>
              <w:adjustRightInd w:val="0"/>
              <w:snapToGrid w:val="0"/>
              <w:spacing w:line="360" w:lineRule="auto"/>
              <w:jc w:val="center"/>
              <w:rPr>
                <w:rFonts w:ascii="仿宋" w:hAnsi="仿宋" w:eastAsia="仿宋" w:cs="宋体"/>
                <w:color w:val="auto"/>
                <w:sz w:val="24"/>
                <w:highlight w:val="none"/>
              </w:rPr>
            </w:pPr>
          </w:p>
        </w:tc>
        <w:tc>
          <w:tcPr>
            <w:tcW w:w="992" w:type="dxa"/>
            <w:vAlign w:val="center"/>
          </w:tcPr>
          <w:p>
            <w:pPr>
              <w:adjustRightInd w:val="0"/>
              <w:snapToGrid w:val="0"/>
              <w:spacing w:line="360" w:lineRule="auto"/>
              <w:jc w:val="center"/>
              <w:rPr>
                <w:rFonts w:ascii="仿宋" w:hAnsi="仿宋" w:eastAsia="仿宋"/>
                <w:color w:val="auto"/>
                <w:sz w:val="24"/>
                <w:highlight w:val="none"/>
              </w:rPr>
            </w:pPr>
          </w:p>
        </w:tc>
        <w:tc>
          <w:tcPr>
            <w:tcW w:w="851" w:type="dxa"/>
            <w:vAlign w:val="center"/>
          </w:tcPr>
          <w:p>
            <w:pPr>
              <w:adjustRightInd w:val="0"/>
              <w:snapToGrid w:val="0"/>
              <w:spacing w:line="360" w:lineRule="auto"/>
              <w:ind w:left="120" w:hanging="120" w:hangingChars="50"/>
              <w:jc w:val="center"/>
              <w:rPr>
                <w:rFonts w:ascii="仿宋" w:hAnsi="仿宋" w:eastAsia="仿宋"/>
                <w:color w:val="auto"/>
                <w:sz w:val="24"/>
                <w:highlight w:val="none"/>
              </w:rPr>
            </w:pPr>
          </w:p>
        </w:tc>
        <w:tc>
          <w:tcPr>
            <w:tcW w:w="1844" w:type="dxa"/>
            <w:vAlign w:val="center"/>
          </w:tcPr>
          <w:p>
            <w:pPr>
              <w:adjustRightInd w:val="0"/>
              <w:snapToGrid w:val="0"/>
              <w:spacing w:line="360" w:lineRule="auto"/>
              <w:jc w:val="center"/>
              <w:rPr>
                <w:rFonts w:ascii="仿宋" w:hAnsi="仿宋" w:eastAsia="仿宋" w:cs="宋体"/>
                <w:color w:val="auto"/>
                <w:sz w:val="24"/>
                <w:highlight w:val="none"/>
              </w:rPr>
            </w:pPr>
          </w:p>
        </w:tc>
        <w:tc>
          <w:tcPr>
            <w:tcW w:w="708" w:type="dxa"/>
            <w:vAlign w:val="center"/>
          </w:tcPr>
          <w:p>
            <w:pPr>
              <w:adjustRightInd w:val="0"/>
              <w:snapToGrid w:val="0"/>
              <w:spacing w:line="360" w:lineRule="auto"/>
              <w:jc w:val="center"/>
              <w:rPr>
                <w:rFonts w:ascii="仿宋" w:hAnsi="仿宋" w:eastAsia="仿宋"/>
                <w:color w:val="auto"/>
                <w:sz w:val="24"/>
                <w:highlight w:val="none"/>
              </w:rPr>
            </w:pPr>
          </w:p>
        </w:tc>
        <w:tc>
          <w:tcPr>
            <w:tcW w:w="850" w:type="dxa"/>
            <w:vAlign w:val="center"/>
          </w:tcPr>
          <w:p>
            <w:pPr>
              <w:adjustRightInd w:val="0"/>
              <w:snapToGrid w:val="0"/>
              <w:spacing w:line="360" w:lineRule="auto"/>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9498" w:type="dxa"/>
            <w:gridSpan w:val="8"/>
            <w:vAlign w:val="top"/>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合计金额（小写）：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9498" w:type="dxa"/>
            <w:gridSpan w:val="8"/>
            <w:vAlign w:val="top"/>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合计人民币金额（大写）：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9498" w:type="dxa"/>
            <w:gridSpan w:val="8"/>
            <w:vAlign w:val="top"/>
          </w:tcPr>
          <w:p>
            <w:pPr>
              <w:tabs>
                <w:tab w:val="left" w:pos="1125"/>
              </w:tabs>
              <w:spacing w:line="360" w:lineRule="auto"/>
              <w:rPr>
                <w:rFonts w:ascii="仿宋" w:hAnsi="仿宋" w:eastAsia="仿宋"/>
                <w:color w:val="auto"/>
                <w:sz w:val="24"/>
                <w:highlight w:val="none"/>
              </w:rPr>
            </w:pPr>
            <w:r>
              <w:rPr>
                <w:rFonts w:hint="eastAsia" w:ascii="仿宋" w:hAnsi="仿宋" w:eastAsia="仿宋"/>
                <w:color w:val="auto"/>
                <w:sz w:val="24"/>
                <w:highlight w:val="none"/>
              </w:rPr>
              <w:t>备注：</w:t>
            </w:r>
          </w:p>
        </w:tc>
      </w:tr>
    </w:tbl>
    <w:p>
      <w:pPr>
        <w:keepNext/>
        <w:keepLines/>
        <w:spacing w:line="360" w:lineRule="auto"/>
        <w:jc w:val="left"/>
        <w:outlineLvl w:val="2"/>
        <w:rPr>
          <w:rFonts w:ascii="仿宋" w:hAnsi="仿宋" w:eastAsia="仿宋"/>
          <w:bCs/>
          <w:color w:val="auto"/>
          <w:sz w:val="24"/>
          <w:highlight w:val="none"/>
        </w:rPr>
      </w:pPr>
      <w:r>
        <w:rPr>
          <w:rFonts w:hint="eastAsia" w:ascii="仿宋" w:hAnsi="仿宋" w:eastAsia="仿宋"/>
          <w:bCs/>
          <w:color w:val="auto"/>
          <w:sz w:val="24"/>
          <w:highlight w:val="none"/>
        </w:rPr>
        <w:t>2. 质量标准</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2.1 乙方提供的产品必须是全新、标识清楚、符合</w:t>
      </w:r>
      <w:r>
        <w:rPr>
          <w:rFonts w:ascii="仿宋" w:hAnsi="仿宋" w:eastAsia="仿宋"/>
          <w:color w:val="auto"/>
          <w:sz w:val="24"/>
          <w:highlight w:val="none"/>
        </w:rPr>
        <w:t>国家</w:t>
      </w:r>
      <w:r>
        <w:rPr>
          <w:rFonts w:hint="eastAsia" w:ascii="仿宋" w:hAnsi="仿宋" w:eastAsia="仿宋"/>
          <w:color w:val="auto"/>
          <w:sz w:val="24"/>
          <w:highlight w:val="none"/>
        </w:rPr>
        <w:t>规定的质量</w:t>
      </w:r>
      <w:r>
        <w:rPr>
          <w:rFonts w:ascii="仿宋" w:hAnsi="仿宋" w:eastAsia="仿宋"/>
          <w:color w:val="auto"/>
          <w:sz w:val="24"/>
          <w:highlight w:val="none"/>
        </w:rPr>
        <w:t>标准或</w:t>
      </w:r>
      <w:r>
        <w:rPr>
          <w:rFonts w:hint="eastAsia" w:ascii="仿宋" w:hAnsi="仿宋" w:eastAsia="仿宋"/>
          <w:color w:val="auto"/>
          <w:sz w:val="24"/>
          <w:highlight w:val="none"/>
        </w:rPr>
        <w:t>行</w:t>
      </w:r>
      <w:r>
        <w:rPr>
          <w:rFonts w:ascii="仿宋" w:hAnsi="仿宋" w:eastAsia="仿宋"/>
          <w:color w:val="auto"/>
          <w:sz w:val="24"/>
          <w:highlight w:val="none"/>
        </w:rPr>
        <w:t>业现行标准的要求。没有国家标准和行业标准的，应达到经主管部门批准的企业现行标准要求</w:t>
      </w:r>
      <w:r>
        <w:rPr>
          <w:rFonts w:hint="eastAsia" w:ascii="仿宋" w:hAnsi="仿宋" w:eastAsia="仿宋"/>
          <w:color w:val="auto"/>
          <w:sz w:val="24"/>
          <w:highlight w:val="none"/>
        </w:rPr>
        <w:t>，符合甲方</w:t>
      </w:r>
      <w:r>
        <w:rPr>
          <w:rFonts w:hint="eastAsia" w:ascii="仿宋" w:hAnsi="仿宋" w:eastAsia="仿宋"/>
          <w:color w:val="auto"/>
          <w:sz w:val="24"/>
          <w:highlight w:val="none"/>
          <w:lang w:eastAsia="zh-CN"/>
        </w:rPr>
        <w:t>询比</w:t>
      </w:r>
      <w:r>
        <w:rPr>
          <w:rFonts w:hint="eastAsia" w:ascii="仿宋" w:hAnsi="仿宋" w:eastAsia="仿宋"/>
          <w:color w:val="auto"/>
          <w:sz w:val="24"/>
          <w:highlight w:val="none"/>
        </w:rPr>
        <w:t>文件和乙方响应文件所要求的技术标准。杜绝证照不全、假冒、伪劣、过期、失效、淘汰或不合格的产品进入医院，否则，乙方承担由此造成的一切后果。</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2.2 乙方提供的产品，每个批次须提供该批次同批号产品检验报告。</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2.3 保证响应产品的质量，有有效期的产品必须留有至少80%的有效期。</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2.4 保证是原产地生产的原装产品，否则视为假冒伪劣产品。</w:t>
      </w:r>
    </w:p>
    <w:p>
      <w:pPr>
        <w:keepNext/>
        <w:keepLines/>
        <w:spacing w:line="360" w:lineRule="auto"/>
        <w:jc w:val="left"/>
        <w:outlineLvl w:val="2"/>
        <w:rPr>
          <w:rFonts w:ascii="仿宋" w:hAnsi="仿宋" w:eastAsia="仿宋"/>
          <w:bCs/>
          <w:color w:val="auto"/>
          <w:sz w:val="24"/>
          <w:highlight w:val="none"/>
        </w:rPr>
      </w:pPr>
      <w:r>
        <w:rPr>
          <w:rFonts w:hint="eastAsia" w:ascii="仿宋" w:hAnsi="仿宋" w:eastAsia="仿宋"/>
          <w:bCs/>
          <w:color w:val="auto"/>
          <w:sz w:val="24"/>
          <w:highlight w:val="none"/>
        </w:rPr>
        <w:t>3. 开票及付款方式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3.1 购销产品为政府实施“两票制”范围的产品，乙方须有对产品实行“两票制”的授权资质，严格执行“两票制”有关规定开具发票，且项目要齐全。并附符合生产、经营质量管理规范要求规定的随货同行单，发票（及清单）的购、销方名称应与随货同行单、付款流向、金额一致。</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3.2 货到验收合格</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个月后，甲方按医院正常办票程序付款。</w:t>
      </w:r>
    </w:p>
    <w:p>
      <w:pPr>
        <w:keepNext/>
        <w:keepLines/>
        <w:spacing w:line="360" w:lineRule="auto"/>
        <w:jc w:val="left"/>
        <w:outlineLvl w:val="2"/>
        <w:rPr>
          <w:rFonts w:ascii="仿宋" w:hAnsi="仿宋" w:eastAsia="仿宋"/>
          <w:bCs/>
          <w:color w:val="auto"/>
          <w:sz w:val="24"/>
          <w:highlight w:val="none"/>
        </w:rPr>
      </w:pPr>
      <w:r>
        <w:rPr>
          <w:rFonts w:hint="eastAsia" w:ascii="仿宋" w:hAnsi="仿宋" w:eastAsia="仿宋"/>
          <w:bCs/>
          <w:color w:val="auto"/>
          <w:sz w:val="24"/>
          <w:highlight w:val="none"/>
        </w:rPr>
        <w:t>4. 交货期、交货地点和收货人</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4.1 交货期按甲方通知要求。</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4.2 甲方指定本协议下的产品的交货地点为                  。</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4.3 收货人为甲方库房管理员或甲方指定人员：                  。</w:t>
      </w:r>
    </w:p>
    <w:p>
      <w:pPr>
        <w:keepNext/>
        <w:keepLines/>
        <w:spacing w:line="360" w:lineRule="auto"/>
        <w:jc w:val="left"/>
        <w:outlineLvl w:val="2"/>
        <w:rPr>
          <w:rFonts w:ascii="仿宋" w:hAnsi="仿宋" w:eastAsia="仿宋"/>
          <w:bCs/>
          <w:color w:val="auto"/>
          <w:sz w:val="24"/>
          <w:highlight w:val="none"/>
        </w:rPr>
      </w:pPr>
      <w:r>
        <w:rPr>
          <w:rFonts w:hint="eastAsia" w:ascii="仿宋" w:hAnsi="仿宋" w:eastAsia="仿宋"/>
          <w:bCs/>
          <w:color w:val="auto"/>
          <w:sz w:val="24"/>
          <w:highlight w:val="none"/>
        </w:rPr>
        <w:t>5. 运输方式及费用的承担</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乙方负责采取安全方式将产品送到甲方指定的地点，产品到达指定地点前的运输费用由乙方全部负担。</w:t>
      </w:r>
    </w:p>
    <w:p>
      <w:pPr>
        <w:keepNext/>
        <w:keepLines/>
        <w:spacing w:line="360" w:lineRule="auto"/>
        <w:jc w:val="left"/>
        <w:outlineLvl w:val="2"/>
        <w:rPr>
          <w:rFonts w:ascii="仿宋" w:hAnsi="仿宋" w:eastAsia="仿宋"/>
          <w:bCs/>
          <w:color w:val="auto"/>
          <w:sz w:val="24"/>
          <w:highlight w:val="none"/>
        </w:rPr>
      </w:pPr>
      <w:r>
        <w:rPr>
          <w:rFonts w:hint="eastAsia" w:ascii="仿宋" w:hAnsi="仿宋" w:eastAsia="仿宋"/>
          <w:bCs/>
          <w:color w:val="auto"/>
          <w:sz w:val="24"/>
          <w:highlight w:val="none"/>
        </w:rPr>
        <w:t>6. 包装</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乙方所交付的产品，必须采取适合的运输的合理包装。产品交付时，必须包装完好，否则，甲方有权拒收。</w:t>
      </w:r>
    </w:p>
    <w:p>
      <w:pPr>
        <w:keepNext/>
        <w:keepLines/>
        <w:spacing w:line="360" w:lineRule="auto"/>
        <w:jc w:val="left"/>
        <w:outlineLvl w:val="2"/>
        <w:rPr>
          <w:rFonts w:ascii="仿宋" w:hAnsi="仿宋" w:eastAsia="仿宋"/>
          <w:bCs/>
          <w:color w:val="auto"/>
          <w:sz w:val="24"/>
          <w:highlight w:val="none"/>
        </w:rPr>
      </w:pPr>
      <w:r>
        <w:rPr>
          <w:rFonts w:hint="eastAsia" w:ascii="仿宋" w:hAnsi="仿宋" w:eastAsia="仿宋"/>
          <w:bCs/>
          <w:color w:val="auto"/>
          <w:sz w:val="24"/>
          <w:highlight w:val="none"/>
        </w:rPr>
        <w:t>7. 验收</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7.1 双方同意适用国家标准或行业现行标准并参照响应样品质量标准为本协议项下产品的验收标准。</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7.2 属于实施“两票制”范围的产品，按常规验收程序验收入库、提供材料，另需同时提供生产企业销售发票及随货同行单复印件（加盖乙方印章）等。</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7.3 甲方验收人员须认真查看产品的名称、规格、产地、价格、注册证、批号、效期等。</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7.4 经验收，乙方所交付的产品不合格，甲方第一时间通知乙方，乙方必须无条件进行更换；如果再次验收仍不合格，甲方有权退货，所造成的一切损失由乙方负责，并终止供货协议。</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7.5 甲方指定的收货人员的验收视为甲方的验收。</w:t>
      </w:r>
    </w:p>
    <w:p>
      <w:pPr>
        <w:keepNext/>
        <w:keepLines/>
        <w:spacing w:line="360" w:lineRule="auto"/>
        <w:jc w:val="left"/>
        <w:outlineLvl w:val="2"/>
        <w:rPr>
          <w:rFonts w:ascii="仿宋" w:hAnsi="仿宋" w:eastAsia="仿宋"/>
          <w:bCs/>
          <w:color w:val="auto"/>
          <w:sz w:val="24"/>
          <w:highlight w:val="none"/>
        </w:rPr>
      </w:pPr>
      <w:r>
        <w:rPr>
          <w:rFonts w:hint="eastAsia" w:ascii="仿宋" w:hAnsi="仿宋" w:eastAsia="仿宋"/>
          <w:bCs/>
          <w:color w:val="auto"/>
          <w:sz w:val="24"/>
          <w:highlight w:val="none"/>
        </w:rPr>
        <w:t>8. 售后服务及违约责任</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8.1 乙方必须具备并提供所销售产品相适应的专业指导、技术培训和售后服务，或约定由相关机构提供技术支持。</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8.2 乙方对产品在保质期内的质量负责，如甲方有疑问，应在12小时内应答。</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8.3 甲方检验或使用科室发现产品有质量问题，经核实后，乙方无条件退换，如因此所造成损失，由乙方承担，甲方保留进一步追究责任的权利。</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8.4 若交货地点或收货人变更，甲方必须提前与乙方协商后解决，否则，甲方承担乙方损失。</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8.5 凡因乙方所生产、经销的产品质量问题引起的医疗事故、医疗纠纷与一切后果，将由乙方承担所有的责任。</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8.6 合同执行期内，乙方须保证甲方正常供应，且不能随意变更授权。如因乙方原因造成合同无法执行（不可抗拒因素除外），甲方有权对乙方进行违约责任追究。</w:t>
      </w:r>
    </w:p>
    <w:p>
      <w:pPr>
        <w:keepNext/>
        <w:keepLines/>
        <w:spacing w:line="360" w:lineRule="auto"/>
        <w:jc w:val="left"/>
        <w:outlineLvl w:val="2"/>
        <w:rPr>
          <w:rFonts w:ascii="仿宋" w:hAnsi="仿宋" w:eastAsia="仿宋"/>
          <w:bCs/>
          <w:color w:val="auto"/>
          <w:sz w:val="24"/>
          <w:highlight w:val="none"/>
        </w:rPr>
      </w:pPr>
      <w:r>
        <w:rPr>
          <w:rFonts w:hint="eastAsia" w:ascii="仿宋" w:hAnsi="仿宋" w:eastAsia="仿宋"/>
          <w:bCs/>
          <w:color w:val="auto"/>
          <w:sz w:val="24"/>
          <w:highlight w:val="none"/>
        </w:rPr>
        <w:t>9. 合同生效及期限</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本合同在甲乙双方签字盖章后生效，有效期至____年___月___日。合同期满后，经双方协商可以续签一次。若期间乙方有违法违约行为，甲方可随时解除合同。</w:t>
      </w:r>
    </w:p>
    <w:p>
      <w:pPr>
        <w:keepNext/>
        <w:keepLines/>
        <w:spacing w:line="360" w:lineRule="auto"/>
        <w:jc w:val="left"/>
        <w:outlineLvl w:val="2"/>
        <w:rPr>
          <w:rFonts w:ascii="仿宋" w:hAnsi="仿宋" w:eastAsia="仿宋"/>
          <w:bCs/>
          <w:color w:val="auto"/>
          <w:sz w:val="24"/>
          <w:highlight w:val="none"/>
        </w:rPr>
      </w:pPr>
      <w:r>
        <w:rPr>
          <w:rFonts w:hint="eastAsia" w:ascii="仿宋" w:hAnsi="仿宋" w:eastAsia="仿宋"/>
          <w:bCs/>
          <w:color w:val="auto"/>
          <w:sz w:val="24"/>
          <w:highlight w:val="none"/>
        </w:rPr>
        <w:t>10. 纠纷的解决</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本协议的内容，双方必须认真履行。在履行的过程中，发生的纠纷的，双方应当友好协商解决，协商不成的，任何一方均可向有管辖权的人民法院起诉。</w:t>
      </w:r>
    </w:p>
    <w:p>
      <w:pPr>
        <w:keepNext/>
        <w:keepLines/>
        <w:spacing w:line="360" w:lineRule="auto"/>
        <w:jc w:val="left"/>
        <w:outlineLvl w:val="2"/>
        <w:rPr>
          <w:rFonts w:ascii="仿宋" w:hAnsi="仿宋" w:eastAsia="仿宋"/>
          <w:bCs/>
          <w:color w:val="auto"/>
          <w:sz w:val="24"/>
          <w:highlight w:val="none"/>
        </w:rPr>
      </w:pPr>
      <w:r>
        <w:rPr>
          <w:rFonts w:hint="eastAsia" w:ascii="仿宋" w:hAnsi="仿宋" w:eastAsia="仿宋"/>
          <w:bCs/>
          <w:color w:val="auto"/>
          <w:sz w:val="24"/>
          <w:highlight w:val="none"/>
        </w:rPr>
        <w:t>11. 其他约定</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11.1 乙方承诺，在产品购销过程中，无任何不正当手段进行促销，严格遵守国家的法律、法规及我院对物资采购的各项规定，否则视为违约，将取消其供货资格，并追究其相关法律责任。</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11.2 若乙方无法履行合同，须提前</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个月通知甲方，否则视为违约，甲方有权追究乙方责任。</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11.3 甲方定期对乙方进行满意度考核，根据满意度考核结果，对乙方进行奖惩。</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11.4 本合同未尽事宜，双方协商，可签订补充协议或附件，补充协议及附件与本合同具有同等的法律效力。</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11.5 本合同一式</w:t>
      </w:r>
      <w:r>
        <w:rPr>
          <w:rFonts w:hint="eastAsia" w:ascii="仿宋" w:hAnsi="仿宋" w:eastAsia="仿宋"/>
          <w:color w:val="auto"/>
          <w:sz w:val="24"/>
          <w:highlight w:val="none"/>
          <w:lang w:eastAsia="zh-CN"/>
        </w:rPr>
        <w:t>肆</w:t>
      </w:r>
      <w:r>
        <w:rPr>
          <w:rFonts w:hint="eastAsia" w:ascii="仿宋" w:hAnsi="仿宋" w:eastAsia="仿宋"/>
          <w:color w:val="auto"/>
          <w:sz w:val="24"/>
          <w:highlight w:val="none"/>
        </w:rPr>
        <w:t>份，甲方持</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eastAsia="zh-CN"/>
        </w:rPr>
        <w:t>一</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份，乙方持</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eastAsia="zh-CN"/>
        </w:rPr>
        <w:t>二</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份，具有同等法律效力。</w:t>
      </w:r>
    </w:p>
    <w:p>
      <w:pPr>
        <w:widowControl/>
        <w:spacing w:line="360" w:lineRule="auto"/>
        <w:ind w:left="420" w:leftChars="200" w:firstLine="480" w:firstLineChars="200"/>
        <w:jc w:val="left"/>
        <w:rPr>
          <w:rFonts w:ascii="仿宋" w:hAnsi="仿宋" w:eastAsia="仿宋"/>
          <w:color w:val="auto"/>
          <w:kern w:val="0"/>
          <w:sz w:val="24"/>
          <w:highlight w:val="none"/>
        </w:rPr>
      </w:pP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甲方（签字）：                                乙方（签字）：</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（盖章）                                     （盖章）</w:t>
      </w:r>
    </w:p>
    <w:p>
      <w:pPr>
        <w:widowControl/>
        <w:spacing w:line="360" w:lineRule="auto"/>
        <w:ind w:firstLine="480" w:firstLineChars="200"/>
        <w:jc w:val="left"/>
        <w:rPr>
          <w:rFonts w:hint="eastAsia" w:ascii="仿宋" w:hAnsi="仿宋" w:eastAsia="仿宋"/>
          <w:color w:val="auto"/>
          <w:kern w:val="0"/>
          <w:sz w:val="24"/>
          <w:highlight w:val="none"/>
        </w:rPr>
      </w:pPr>
      <w:r>
        <w:rPr>
          <w:rFonts w:hint="eastAsia" w:ascii="仿宋" w:hAnsi="仿宋" w:eastAsia="仿宋"/>
          <w:color w:val="auto"/>
          <w:kern w:val="0"/>
          <w:sz w:val="24"/>
          <w:highlight w:val="none"/>
        </w:rPr>
        <w:t>办公电话：                                    联系人手机：</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时间：                                        时间：</w:t>
      </w:r>
    </w:p>
    <w:p>
      <w:pPr>
        <w:pStyle w:val="3"/>
        <w:spacing w:after="0" w:line="415" w:lineRule="auto"/>
        <w:rPr>
          <w:rFonts w:ascii="仿宋" w:hAnsi="仿宋" w:eastAsia="仿宋"/>
          <w:b w:val="0"/>
          <w:color w:val="auto"/>
          <w:sz w:val="24"/>
          <w:szCs w:val="24"/>
          <w:highlight w:val="none"/>
        </w:rPr>
      </w:pPr>
      <w:bookmarkStart w:id="341" w:name="_Toc246996319"/>
      <w:bookmarkEnd w:id="341"/>
      <w:bookmarkStart w:id="342" w:name="_Toc369531676"/>
      <w:bookmarkEnd w:id="342"/>
      <w:bookmarkStart w:id="343" w:name="_Toc247085834"/>
      <w:bookmarkEnd w:id="343"/>
      <w:bookmarkStart w:id="344" w:name="_Toc246997062"/>
      <w:bookmarkEnd w:id="344"/>
      <w:bookmarkStart w:id="345" w:name="_Toc9766"/>
      <w:bookmarkEnd w:id="345"/>
      <w:bookmarkStart w:id="346" w:name="_Toc29298"/>
      <w:bookmarkEnd w:id="346"/>
      <w:bookmarkStart w:id="347" w:name="_Toc296602565"/>
      <w:bookmarkEnd w:id="347"/>
      <w:bookmarkStart w:id="348" w:name="_Toc369531675"/>
      <w:bookmarkEnd w:id="348"/>
      <w:bookmarkStart w:id="349" w:name="_Toc184635117"/>
      <w:bookmarkEnd w:id="349"/>
      <w:bookmarkStart w:id="350" w:name="_Toc153397841"/>
      <w:r>
        <w:rPr>
          <w:rFonts w:ascii="仿宋" w:hAnsi="仿宋" w:eastAsia="仿宋"/>
          <w:b w:val="0"/>
          <w:color w:val="auto"/>
          <w:sz w:val="24"/>
          <w:szCs w:val="24"/>
          <w:highlight w:val="none"/>
        </w:rPr>
        <w:t>附件一：</w:t>
      </w:r>
      <w:r>
        <w:rPr>
          <w:rFonts w:hint="eastAsia" w:ascii="仿宋" w:hAnsi="仿宋" w:eastAsia="仿宋"/>
          <w:b w:val="0"/>
          <w:color w:val="auto"/>
          <w:sz w:val="24"/>
          <w:szCs w:val="24"/>
          <w:highlight w:val="none"/>
        </w:rPr>
        <w:t>廉洁购销合同</w:t>
      </w:r>
      <w:bookmarkEnd w:id="350"/>
    </w:p>
    <w:p>
      <w:pPr>
        <w:spacing w:line="440" w:lineRule="exact"/>
        <w:jc w:val="center"/>
        <w:rPr>
          <w:rFonts w:hint="eastAsia" w:ascii="仿宋" w:hAnsi="仿宋" w:eastAsia="仿宋"/>
          <w:color w:val="auto"/>
          <w:sz w:val="24"/>
          <w:highlight w:val="none"/>
        </w:rPr>
      </w:pPr>
      <w:r>
        <w:rPr>
          <w:rFonts w:hint="eastAsia" w:ascii="仿宋" w:hAnsi="仿宋" w:eastAsia="仿宋"/>
          <w:color w:val="auto"/>
          <w:sz w:val="24"/>
          <w:highlight w:val="none"/>
        </w:rPr>
        <w:t>廉洁购销合同</w:t>
      </w:r>
    </w:p>
    <w:p>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为认真贯彻党中央、国务院治理医药购销领域商业贿赂的重要决策和部署，进一步加强医疗卫生行风建设，严肃行业纪律，进一步规范医药领域购销行为，维护正常的医疗秩序和经营秩序，根据国家卫生计生委、国家中医药管理局文件《关于印发加强医疗卫生行风建设“九不准”的通知》（国卫办发【2013】49号）和《关于建立医药购销领域商业贿赂不良记录的规定》（国卫法制发【2013】50号），经甲、乙双方同意签订廉洁购销合同并予以共同遵守：</w:t>
      </w:r>
    </w:p>
    <w:p>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一、双方应严格执行《中华人民共和国药品管理法》、《中华人民共和国反不正当竞争法》等有关法律法规以及相关政策的规定和医药购销领域治理商业贿赂的有关文件精神。</w:t>
      </w:r>
    </w:p>
    <w:p>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二、业务活动必须坚持公开、公正、公平、诚信、透明的原则（除法律法规另有规定外），不得为获取不正当利益损害国家、集体和对方的利益，严格执行供应合同的规定。</w:t>
      </w:r>
    </w:p>
    <w:p>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三、甲方购进药品、医疗设备、器械、耗材等产品，不得以任何方式向乙方索取回扣，或者索要、收受乙方产品发票价格外的赞助，不得要求乙方代支任何费用开支。</w:t>
      </w:r>
    </w:p>
    <w:p>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四、甲方工作人员不得以暗示或其他任何形式索要回扣、提成、有价证券、现金、购物卡等。如甲方工作人员暗示或索要，乙方应予拒绝，并有责任如实向甲方纪检监察部门反映。</w:t>
      </w:r>
    </w:p>
    <w:p>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五、甲方工作人员不得为乙方非法统计药品、耗材销售数量等有关信息。</w:t>
      </w:r>
    </w:p>
    <w:p>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六、乙方不得暗中给予甲方工作人员财物或其他利益。</w:t>
      </w:r>
    </w:p>
    <w:p>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七、乙方来医院洽谈业务，必须在工作时间到甲方相关科室联系洽谈，不得到临床、门诊推销医药产品，不得借故到甲方主管领导、部门负责人及相关工作人员家中访谈。</w:t>
      </w:r>
    </w:p>
    <w:p>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八、乙方在销售活动中，要自觉遵守国家和地方的相关法律、法规，严格执行合同条款，不得以次充好、降低产品质量，做到诚信经营。</w:t>
      </w:r>
    </w:p>
    <w:p>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九、乙方如出现有上述违法违纪行为，一经查实，甲方有权终止合同、列入“供应商商业贿赂不良记录”，两年内不再购入其药品、医用设备和医用耗材；给医院造成经济损失的应予以赔偿；涉嫌犯罪的移交司法机关追究刑事责任。“供应商商业贿赂不良记录”在采购人、安徽省卫生计生委等网站予以公布；</w:t>
      </w:r>
    </w:p>
    <w:p>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十、甲方工作人员如违反上述条款的，甲方将按国家法律法规和医院有关廉政制度规定给予处理，涉嫌违法的移交司法机关追究刑事责任。</w:t>
      </w:r>
    </w:p>
    <w:p>
      <w:pPr>
        <w:spacing w:line="4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十一、本廉洁合同一式肆份，甲方持叁份，乙方持壹份。自签订之日起生效。</w:t>
      </w:r>
    </w:p>
    <w:p>
      <w:pPr>
        <w:spacing w:line="300" w:lineRule="auto"/>
        <w:ind w:firstLine="480" w:firstLineChars="200"/>
        <w:rPr>
          <w:rFonts w:hint="eastAsia" w:ascii="仿宋" w:hAnsi="仿宋" w:eastAsia="仿宋"/>
          <w:color w:val="auto"/>
          <w:sz w:val="24"/>
          <w:highlight w:val="none"/>
        </w:rPr>
      </w:pPr>
    </w:p>
    <w:p>
      <w:pPr>
        <w:spacing w:line="30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甲方（盖章）                     乙方（盖章）</w:t>
      </w:r>
    </w:p>
    <w:p>
      <w:pPr>
        <w:spacing w:line="30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 xml:space="preserve">甲方代表：                       乙方代表：                                  </w:t>
      </w:r>
    </w:p>
    <w:p>
      <w:pPr>
        <w:spacing w:line="440" w:lineRule="exact"/>
        <w:ind w:firstLine="480" w:firstLineChars="200"/>
        <w:rPr>
          <w:rFonts w:ascii="仿宋" w:hAnsi="仿宋" w:eastAsia="仿宋"/>
          <w:color w:val="auto"/>
          <w:sz w:val="24"/>
          <w:highlight w:val="none"/>
        </w:rPr>
      </w:pP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ascii="仿宋" w:hAnsi="仿宋" w:eastAsia="仿宋"/>
          <w:color w:val="auto"/>
          <w:sz w:val="24"/>
          <w:highlight w:val="none"/>
        </w:rPr>
        <w:t>日</w:t>
      </w:r>
      <w:r>
        <w:rPr>
          <w:rFonts w:hint="eastAsia"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ascii="仿宋" w:hAnsi="仿宋" w:eastAsia="仿宋"/>
          <w:color w:val="auto"/>
          <w:sz w:val="24"/>
          <w:highlight w:val="none"/>
        </w:rPr>
        <w:t>日</w:t>
      </w:r>
    </w:p>
    <w:p>
      <w:pPr>
        <w:tabs>
          <w:tab w:val="left" w:pos="5370"/>
          <w:tab w:val="left" w:pos="6330"/>
          <w:tab w:val="left" w:pos="7275"/>
        </w:tabs>
        <w:autoSpaceDE w:val="0"/>
        <w:autoSpaceDN w:val="0"/>
        <w:adjustRightInd w:val="0"/>
        <w:spacing w:line="440" w:lineRule="exact"/>
        <w:ind w:left="4341" w:firstLine="240" w:firstLineChars="100"/>
        <w:contextualSpacing/>
        <w:jc w:val="left"/>
        <w:rPr>
          <w:rFonts w:hint="eastAsia" w:ascii="宋体" w:hAnsi="宋体" w:eastAsia="宋体" w:cs="宋体"/>
          <w:color w:val="auto"/>
          <w:kern w:val="0"/>
          <w:position w:val="-1"/>
          <w:sz w:val="24"/>
          <w:szCs w:val="24"/>
          <w:highlight w:val="none"/>
        </w:rPr>
      </w:pPr>
    </w:p>
    <w:p>
      <w:pPr>
        <w:jc w:val="center"/>
        <w:rPr>
          <w:color w:val="auto"/>
          <w:highlight w:val="none"/>
        </w:rPr>
      </w:pPr>
    </w:p>
    <w:p>
      <w:pPr>
        <w:rPr>
          <w:color w:val="auto"/>
          <w:highlight w:val="none"/>
        </w:rPr>
      </w:pPr>
      <w:bookmarkStart w:id="351" w:name="_Toc501460777"/>
      <w:bookmarkStart w:id="352" w:name="_Toc247514197"/>
      <w:bookmarkStart w:id="353" w:name="_Toc144974578"/>
      <w:bookmarkStart w:id="354" w:name="_Toc246997081"/>
      <w:bookmarkStart w:id="355" w:name="_Toc144974829"/>
      <w:bookmarkStart w:id="356" w:name="_Toc247085853"/>
      <w:bookmarkStart w:id="357" w:name="_Toc184635122"/>
      <w:bookmarkStart w:id="358" w:name="_Toc152042549"/>
      <w:bookmarkStart w:id="359" w:name="_Toc152045610"/>
      <w:bookmarkStart w:id="360" w:name="_Toc152042388"/>
      <w:bookmarkStart w:id="361" w:name="_Toc246996338"/>
      <w:bookmarkStart w:id="362" w:name="_Toc179632787"/>
      <w:bookmarkStart w:id="363" w:name="_Toc300835199"/>
      <w:bookmarkStart w:id="364" w:name="_Toc247527798"/>
    </w:p>
    <w:p>
      <w:pPr>
        <w:rPr>
          <w:color w:val="auto"/>
          <w:highlight w:val="none"/>
        </w:rPr>
      </w:pPr>
    </w:p>
    <w:p>
      <w:pPr>
        <w:rPr>
          <w:color w:val="auto"/>
          <w:highlight w:val="none"/>
        </w:rPr>
      </w:pPr>
    </w:p>
    <w:p>
      <w:pPr>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6"/>
        <w:rPr>
          <w:color w:val="auto"/>
          <w:highlight w:val="none"/>
        </w:rPr>
      </w:pPr>
    </w:p>
    <w:p>
      <w:pPr>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2"/>
        <w:jc w:val="both"/>
        <w:rPr>
          <w:color w:val="auto"/>
          <w:highlight w:val="none"/>
        </w:rPr>
      </w:pPr>
      <w:bookmarkStart w:id="365" w:name="_Toc15955"/>
    </w:p>
    <w:p>
      <w:pPr>
        <w:pStyle w:val="2"/>
        <w:numPr>
          <w:ilvl w:val="0"/>
          <w:numId w:val="2"/>
        </w:numPr>
        <w:ind w:left="0" w:leftChars="0" w:firstLine="0" w:firstLineChars="0"/>
        <w:jc w:val="center"/>
        <w:rPr>
          <w:rFonts w:hint="eastAsia"/>
          <w:color w:val="auto"/>
          <w:highlight w:val="none"/>
        </w:rPr>
      </w:pPr>
      <w:r>
        <w:rPr>
          <w:rFonts w:hint="eastAsia"/>
          <w:color w:val="auto"/>
          <w:highlight w:val="none"/>
        </w:rPr>
        <w:t xml:space="preserve"> 采购需求</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Start w:id="366" w:name="_Toc153397843"/>
    </w:p>
    <w:p>
      <w:pPr>
        <w:pStyle w:val="2"/>
        <w:numPr>
          <w:ilvl w:val="0"/>
          <w:numId w:val="2"/>
        </w:numPr>
        <w:ind w:left="0" w:leftChars="0" w:firstLine="0" w:firstLineChars="0"/>
        <w:jc w:val="center"/>
        <w:rPr>
          <w:rFonts w:ascii="仿宋" w:hAnsi="仿宋" w:eastAsia="仿宋"/>
          <w:color w:val="auto"/>
          <w:sz w:val="24"/>
          <w:szCs w:val="24"/>
          <w:highlight w:val="none"/>
        </w:rPr>
      </w:pPr>
      <w:r>
        <w:rPr>
          <w:rFonts w:ascii="仿宋" w:hAnsi="仿宋" w:eastAsia="仿宋"/>
          <w:color w:val="auto"/>
          <w:sz w:val="24"/>
          <w:szCs w:val="24"/>
          <w:highlight w:val="none"/>
        </w:rPr>
        <w:t>一、项目概况</w:t>
      </w:r>
      <w:bookmarkEnd w:id="366"/>
    </w:p>
    <w:p>
      <w:pPr>
        <w:spacing w:line="440" w:lineRule="exact"/>
        <w:ind w:firstLine="410" w:firstLineChars="171"/>
        <w:rPr>
          <w:rFonts w:hint="default"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全自动煎药机采购项目，详见采购文件。</w:t>
      </w:r>
    </w:p>
    <w:p>
      <w:pPr>
        <w:rPr>
          <w:rFonts w:hint="eastAsia" w:ascii="仿宋" w:hAnsi="仿宋" w:eastAsia="仿宋"/>
          <w:color w:val="auto"/>
          <w:sz w:val="24"/>
          <w:highlight w:val="none"/>
        </w:rPr>
      </w:pPr>
    </w:p>
    <w:p>
      <w:pPr>
        <w:rPr>
          <w:rFonts w:ascii="仿宋" w:hAnsi="仿宋" w:eastAsia="仿宋"/>
          <w:color w:val="auto"/>
          <w:sz w:val="24"/>
          <w:highlight w:val="none"/>
        </w:rPr>
      </w:pPr>
    </w:p>
    <w:p>
      <w:pPr>
        <w:pStyle w:val="3"/>
        <w:numPr>
          <w:ilvl w:val="0"/>
          <w:numId w:val="3"/>
        </w:numPr>
        <w:spacing w:after="120" w:line="415" w:lineRule="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技术参数</w:t>
      </w:r>
    </w:p>
    <w:p>
      <w:pPr>
        <w:jc w:val="center"/>
        <w:rPr>
          <w:rFonts w:hint="eastAsia"/>
          <w:b/>
          <w:color w:val="231F20"/>
          <w:sz w:val="36"/>
          <w:szCs w:val="36"/>
          <w:highlight w:val="none"/>
        </w:rPr>
      </w:pPr>
      <w:bookmarkStart w:id="367" w:name="_Toc501460780"/>
      <w:r>
        <w:rPr>
          <w:rFonts w:hint="eastAsia"/>
          <w:b/>
          <w:color w:val="231F20"/>
          <w:sz w:val="36"/>
          <w:szCs w:val="36"/>
          <w:highlight w:val="none"/>
          <w:lang w:val="en-US" w:eastAsia="zh-CN"/>
        </w:rPr>
        <w:t>全自动煎药机</w:t>
      </w:r>
      <w:r>
        <w:rPr>
          <w:rFonts w:hint="eastAsia"/>
          <w:b/>
          <w:color w:val="231F20"/>
          <w:sz w:val="36"/>
          <w:szCs w:val="36"/>
          <w:highlight w:val="none"/>
        </w:rPr>
        <w:t>参数</w:t>
      </w:r>
    </w:p>
    <w:p>
      <w:pPr>
        <w:spacing w:line="480" w:lineRule="exact"/>
        <w:rPr>
          <w:rFonts w:hint="eastAsia"/>
          <w:b/>
          <w:sz w:val="28"/>
          <w:szCs w:val="28"/>
        </w:rPr>
      </w:pPr>
      <w:r>
        <w:rPr>
          <w:rFonts w:hint="eastAsia" w:ascii="宋体" w:hAnsi="宋体"/>
          <w:b/>
          <w:sz w:val="24"/>
          <w:lang w:eastAsia="zh-CN"/>
        </w:rPr>
        <w:t>全</w:t>
      </w:r>
      <w:r>
        <w:rPr>
          <w:rFonts w:hint="eastAsia" w:ascii="宋体" w:hAnsi="宋体"/>
          <w:b/>
          <w:sz w:val="24"/>
        </w:rPr>
        <w:t>自动煎药机</w:t>
      </w:r>
    </w:p>
    <w:p>
      <w:pPr>
        <w:spacing w:line="400" w:lineRule="exact"/>
        <w:rPr>
          <w:rFonts w:hint="eastAsia" w:ascii="宋体" w:hAnsi="宋体" w:cs="宋体"/>
          <w:kern w:val="0"/>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w:t>
      </w:r>
      <w:r>
        <w:rPr>
          <w:rFonts w:hint="eastAsia" w:ascii="宋体" w:hAnsi="宋体"/>
          <w:sz w:val="24"/>
        </w:rPr>
        <w:t>容量：≥</w:t>
      </w:r>
      <w:r>
        <w:rPr>
          <w:rFonts w:hint="eastAsia" w:ascii="宋体" w:hAnsi="宋体" w:cs="宋体"/>
          <w:kern w:val="0"/>
          <w:sz w:val="24"/>
        </w:rPr>
        <w:t>30000ml</w:t>
      </w:r>
    </w:p>
    <w:p>
      <w:pPr>
        <w:spacing w:line="400" w:lineRule="exact"/>
        <w:rPr>
          <w:rFonts w:hint="eastAsia" w:ascii="宋体" w:hAnsi="宋体"/>
          <w:sz w:val="24"/>
        </w:rPr>
      </w:pPr>
      <w:r>
        <w:rPr>
          <w:rFonts w:hint="eastAsia" w:ascii="宋体" w:hAnsi="宋体"/>
          <w:sz w:val="24"/>
          <w:lang w:val="en-US" w:eastAsia="zh-CN"/>
        </w:rPr>
        <w:t>2</w:t>
      </w:r>
      <w:r>
        <w:rPr>
          <w:rFonts w:hint="eastAsia" w:ascii="宋体" w:hAnsi="宋体"/>
          <w:sz w:val="24"/>
        </w:rPr>
        <w:t>、功率：≥</w:t>
      </w:r>
      <w:r>
        <w:rPr>
          <w:rFonts w:hint="eastAsia" w:ascii="宋体" w:hAnsi="宋体" w:cs="宋体"/>
          <w:kern w:val="0"/>
          <w:sz w:val="24"/>
        </w:rPr>
        <w:t>3</w:t>
      </w:r>
      <w:r>
        <w:rPr>
          <w:rFonts w:hint="eastAsia" w:ascii="宋体" w:hAnsi="宋体" w:cs="宋体"/>
          <w:kern w:val="0"/>
          <w:sz w:val="24"/>
          <w:lang w:val="en-US" w:eastAsia="zh-CN"/>
        </w:rPr>
        <w:t>0</w:t>
      </w:r>
      <w:r>
        <w:rPr>
          <w:rFonts w:hint="eastAsia" w:ascii="宋体" w:hAnsi="宋体" w:cs="宋体"/>
          <w:kern w:val="0"/>
          <w:sz w:val="24"/>
        </w:rPr>
        <w:t>00W</w:t>
      </w:r>
    </w:p>
    <w:p>
      <w:pPr>
        <w:spacing w:line="400" w:lineRule="exact"/>
        <w:rPr>
          <w:rFonts w:hint="eastAsia" w:ascii="宋体" w:hAnsi="宋体"/>
          <w:sz w:val="24"/>
        </w:rPr>
      </w:pPr>
      <w:r>
        <w:rPr>
          <w:rFonts w:hint="eastAsia" w:ascii="宋体" w:hAnsi="宋体"/>
          <w:sz w:val="24"/>
          <w:lang w:val="en-US" w:eastAsia="zh-CN"/>
        </w:rPr>
        <w:t>3</w:t>
      </w:r>
      <w:r>
        <w:rPr>
          <w:rFonts w:hint="eastAsia" w:ascii="宋体" w:hAnsi="宋体"/>
          <w:sz w:val="24"/>
        </w:rPr>
        <w:t>、电压：</w:t>
      </w:r>
      <w:r>
        <w:rPr>
          <w:rFonts w:hint="eastAsia" w:ascii="宋体" w:hAnsi="宋体" w:cs="宋体"/>
          <w:kern w:val="0"/>
          <w:sz w:val="24"/>
          <w:lang w:val="zh-CN"/>
        </w:rPr>
        <w:t>AC220V</w:t>
      </w:r>
    </w:p>
    <w:p>
      <w:pPr>
        <w:spacing w:line="400" w:lineRule="exact"/>
        <w:rPr>
          <w:rFonts w:hint="eastAsia" w:ascii="宋体" w:hAnsi="宋体"/>
          <w:sz w:val="28"/>
          <w:szCs w:val="28"/>
        </w:rPr>
      </w:pPr>
      <w:r>
        <w:rPr>
          <w:rFonts w:hint="eastAsia" w:ascii="宋体" w:hAnsi="宋体"/>
          <w:sz w:val="24"/>
          <w:lang w:val="en-US" w:eastAsia="zh-CN"/>
        </w:rPr>
        <w:t>4</w:t>
      </w:r>
      <w:r>
        <w:rPr>
          <w:rFonts w:hint="eastAsia" w:ascii="宋体" w:hAnsi="宋体"/>
          <w:sz w:val="24"/>
        </w:rPr>
        <w:t>、*符合《煎药机行业标准》的煎药效果有效成份煎出率不小于50%，以国家认可的相关检测机构出具的检验报告为准</w:t>
      </w:r>
      <w:r>
        <w:rPr>
          <w:rFonts w:hint="eastAsia" w:ascii="宋体" w:hAnsi="宋体"/>
          <w:sz w:val="28"/>
          <w:szCs w:val="28"/>
        </w:rPr>
        <w:t>；</w:t>
      </w:r>
    </w:p>
    <w:p>
      <w:pPr>
        <w:spacing w:line="360" w:lineRule="auto"/>
        <w:jc w:val="left"/>
        <w:rPr>
          <w:rFonts w:hint="eastAsia" w:ascii="宋体" w:hAnsi="宋体"/>
          <w:sz w:val="24"/>
        </w:rPr>
      </w:pPr>
      <w:r>
        <w:rPr>
          <w:rFonts w:hint="eastAsia"/>
          <w:sz w:val="24"/>
          <w:lang w:val="en-US" w:eastAsia="zh-CN"/>
        </w:rPr>
        <w:t>5</w:t>
      </w:r>
      <w:r>
        <w:rPr>
          <w:rFonts w:hint="eastAsia"/>
          <w:sz w:val="24"/>
        </w:rPr>
        <w:t>、</w:t>
      </w:r>
      <w:r>
        <w:rPr>
          <w:rFonts w:hint="eastAsia" w:ascii="宋体" w:hAnsi="宋体"/>
          <w:sz w:val="24"/>
        </w:rPr>
        <w:t>*可预设不少于12种煎药方案，并具备联网通讯功能。可支持通讯协议自动设置及实现煎药单据传输等通讯协议；</w:t>
      </w:r>
    </w:p>
    <w:p>
      <w:pPr>
        <w:spacing w:line="400" w:lineRule="exact"/>
        <w:rPr>
          <w:rFonts w:hint="eastAsia"/>
          <w:sz w:val="28"/>
          <w:szCs w:val="28"/>
        </w:rPr>
      </w:pPr>
      <w:r>
        <w:rPr>
          <w:rFonts w:hint="eastAsia"/>
          <w:sz w:val="24"/>
          <w:lang w:val="en-US" w:eastAsia="zh-CN"/>
        </w:rPr>
        <w:t>6</w:t>
      </w:r>
      <w:r>
        <w:rPr>
          <w:rFonts w:hint="eastAsia"/>
          <w:sz w:val="24"/>
        </w:rPr>
        <w:t>、*</w:t>
      </w:r>
      <w:r>
        <w:rPr>
          <w:rFonts w:hint="eastAsia" w:ascii="宋体" w:hAnsi="宋体"/>
          <w:sz w:val="24"/>
        </w:rPr>
        <w:t>符合</w:t>
      </w:r>
      <w:r>
        <w:rPr>
          <w:rFonts w:hint="eastAsia" w:ascii="宋体" w:hAnsi="宋体"/>
          <w:bCs/>
          <w:sz w:val="24"/>
        </w:rPr>
        <w:t>中药煎药室管理规范</w:t>
      </w:r>
      <w:r>
        <w:rPr>
          <w:rFonts w:hint="eastAsia" w:ascii="宋体" w:hAnsi="宋体"/>
          <w:sz w:val="24"/>
        </w:rPr>
        <w:t>的相关要求。</w:t>
      </w:r>
      <w:r>
        <w:rPr>
          <w:rFonts w:hint="eastAsia" w:ascii="宋体" w:hAnsi="宋体"/>
          <w:bCs/>
          <w:sz w:val="24"/>
        </w:rPr>
        <w:t>具有常压</w:t>
      </w:r>
      <w:r>
        <w:rPr>
          <w:rFonts w:hint="eastAsia" w:ascii="宋体" w:hAnsi="宋体"/>
          <w:sz w:val="24"/>
        </w:rPr>
        <w:t>煎药</w:t>
      </w:r>
      <w:r>
        <w:rPr>
          <w:rFonts w:hint="eastAsia" w:ascii="宋体" w:hAnsi="宋体"/>
          <w:bCs/>
          <w:sz w:val="24"/>
        </w:rPr>
        <w:t>功能，</w:t>
      </w:r>
      <w:r>
        <w:rPr>
          <w:rFonts w:hint="eastAsia" w:ascii="宋体" w:hAnsi="宋体"/>
          <w:sz w:val="24"/>
        </w:rPr>
        <w:t>自动完成一煎两煎的全过程</w:t>
      </w:r>
      <w:r>
        <w:rPr>
          <w:rFonts w:hint="eastAsia"/>
          <w:sz w:val="24"/>
        </w:rPr>
        <w:t>，提高煎药药效</w:t>
      </w:r>
      <w:r>
        <w:rPr>
          <w:rFonts w:hint="eastAsia"/>
          <w:sz w:val="28"/>
          <w:szCs w:val="28"/>
        </w:rPr>
        <w:t>。</w:t>
      </w:r>
      <w:r>
        <w:rPr>
          <w:rFonts w:hint="eastAsia" w:ascii="宋体" w:hAnsi="宋体"/>
          <w:sz w:val="24"/>
        </w:rPr>
        <w:t>可实现二煎煎药，二煎时自动加水，自动清洗。</w:t>
      </w:r>
    </w:p>
    <w:p>
      <w:pPr>
        <w:spacing w:line="400" w:lineRule="exact"/>
        <w:rPr>
          <w:rFonts w:hint="eastAsia"/>
          <w:sz w:val="24"/>
        </w:rPr>
      </w:pPr>
      <w:r>
        <w:rPr>
          <w:rFonts w:hint="eastAsia" w:ascii="宋体" w:hAnsi="宋体"/>
          <w:sz w:val="24"/>
          <w:lang w:val="en-US" w:eastAsia="zh-CN"/>
        </w:rPr>
        <w:t>7</w:t>
      </w:r>
      <w:r>
        <w:rPr>
          <w:rFonts w:hint="eastAsia" w:ascii="宋体" w:hAnsi="宋体"/>
          <w:sz w:val="24"/>
        </w:rPr>
        <w:t>、采用安全、方便、快捷的一键式滑盖锁紧装置</w:t>
      </w:r>
      <w:r>
        <w:rPr>
          <w:rFonts w:hint="eastAsia"/>
          <w:sz w:val="24"/>
        </w:rPr>
        <w:t>。</w:t>
      </w:r>
    </w:p>
    <w:p>
      <w:pPr>
        <w:spacing w:line="400" w:lineRule="exact"/>
        <w:rPr>
          <w:rFonts w:hint="eastAsia"/>
          <w:sz w:val="24"/>
        </w:rPr>
      </w:pPr>
      <w:r>
        <w:rPr>
          <w:rFonts w:hint="eastAsia" w:ascii="宋体" w:hAnsi="宋体"/>
          <w:sz w:val="24"/>
          <w:lang w:val="en-US" w:eastAsia="zh-CN"/>
        </w:rPr>
        <w:t>8</w:t>
      </w:r>
      <w:r>
        <w:rPr>
          <w:rFonts w:hint="eastAsia" w:ascii="宋体" w:hAnsi="宋体"/>
          <w:sz w:val="24"/>
        </w:rPr>
        <w:t>、</w:t>
      </w:r>
      <w:r>
        <w:rPr>
          <w:rFonts w:hint="eastAsia"/>
          <w:sz w:val="24"/>
        </w:rPr>
        <w:t>*</w:t>
      </w:r>
      <w:r>
        <w:rPr>
          <w:rFonts w:hint="eastAsia" w:ascii="宋体" w:hAnsi="宋体"/>
          <w:sz w:val="24"/>
        </w:rPr>
        <w:t>先煎后下提示功能，可实现常压煎药、密闭煎药、循环煎药功能。</w:t>
      </w:r>
    </w:p>
    <w:p>
      <w:pPr>
        <w:spacing w:line="400" w:lineRule="exact"/>
        <w:rPr>
          <w:rFonts w:hint="eastAsia" w:ascii="宋体" w:hAnsi="宋体"/>
          <w:sz w:val="24"/>
        </w:rPr>
      </w:pPr>
      <w:r>
        <w:rPr>
          <w:rFonts w:hint="eastAsia" w:ascii="宋体" w:hAnsi="宋体"/>
          <w:sz w:val="24"/>
          <w:lang w:val="en-US" w:eastAsia="zh-CN"/>
        </w:rPr>
        <w:t>9</w:t>
      </w:r>
      <w:r>
        <w:rPr>
          <w:rFonts w:hint="eastAsia" w:ascii="宋体" w:hAnsi="宋体"/>
          <w:sz w:val="24"/>
        </w:rPr>
        <w:t>、*</w:t>
      </w:r>
      <w:r>
        <w:rPr>
          <w:rFonts w:hint="eastAsia"/>
          <w:sz w:val="24"/>
        </w:rPr>
        <w:t>采用</w:t>
      </w:r>
      <w:r>
        <w:rPr>
          <w:rFonts w:hint="eastAsia" w:ascii="宋体" w:hAnsi="宋体"/>
          <w:sz w:val="24"/>
        </w:rPr>
        <w:t>安全、卫生、自下往上、双滑道定位的电动机械挤压系统，实现药渣充分分离。</w:t>
      </w:r>
    </w:p>
    <w:p>
      <w:pPr>
        <w:spacing w:line="400" w:lineRule="exact"/>
        <w:rPr>
          <w:rFonts w:hint="eastAsia" w:ascii="宋体" w:hAnsi="宋体"/>
          <w:sz w:val="24"/>
        </w:rPr>
      </w:pPr>
      <w:r>
        <w:rPr>
          <w:rFonts w:hint="eastAsia" w:ascii="宋体" w:hAnsi="宋体"/>
          <w:sz w:val="24"/>
          <w:lang w:val="en-US" w:eastAsia="zh-CN"/>
        </w:rPr>
        <w:t>10</w:t>
      </w:r>
      <w:r>
        <w:rPr>
          <w:rFonts w:hint="eastAsia" w:ascii="宋体" w:hAnsi="宋体"/>
          <w:sz w:val="24"/>
        </w:rPr>
        <w:t>、不锈钢锅体，内置不锈钢二煎储药罐。</w:t>
      </w:r>
    </w:p>
    <w:p>
      <w:pPr>
        <w:spacing w:line="400" w:lineRule="exact"/>
        <w:rPr>
          <w:rFonts w:hint="eastAsia" w:ascii="宋体" w:hAnsi="宋体"/>
          <w:sz w:val="24"/>
        </w:rPr>
      </w:pPr>
      <w:r>
        <w:rPr>
          <w:rFonts w:hint="eastAsia" w:ascii="宋体" w:hAnsi="宋体"/>
          <w:sz w:val="24"/>
          <w:lang w:val="en-US" w:eastAsia="zh-CN"/>
        </w:rPr>
        <w:t>11</w:t>
      </w:r>
      <w:r>
        <w:rPr>
          <w:rFonts w:hint="eastAsia" w:ascii="宋体" w:hAnsi="宋体"/>
          <w:sz w:val="24"/>
        </w:rPr>
        <w:t>、具有防温度过高和防干烧功能，数控煎药计时、定时功能，控制精度高。</w:t>
      </w:r>
    </w:p>
    <w:p>
      <w:pPr>
        <w:spacing w:line="400" w:lineRule="exact"/>
        <w:rPr>
          <w:rFonts w:hint="eastAsia" w:ascii="宋体" w:hAns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、自动加热调节，文火、武火自动转换。</w:t>
      </w:r>
    </w:p>
    <w:p>
      <w:pPr>
        <w:spacing w:line="400" w:lineRule="exact"/>
        <w:rPr>
          <w:rFonts w:hint="eastAsia" w:ascii="宋体" w:hAns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w:t>
      </w:r>
      <w:r>
        <w:rPr>
          <w:rFonts w:hint="eastAsia"/>
          <w:sz w:val="24"/>
        </w:rPr>
        <w:t>具有</w:t>
      </w:r>
      <w:r>
        <w:rPr>
          <w:rFonts w:ascii="宋体" w:hAnsi="宋体"/>
          <w:sz w:val="24"/>
        </w:rPr>
        <w:t>安全卸压阀，</w:t>
      </w:r>
      <w:r>
        <w:rPr>
          <w:rFonts w:hint="eastAsia" w:ascii="宋体" w:hAnsi="宋体"/>
          <w:sz w:val="24"/>
        </w:rPr>
        <w:t>双安全阀</w:t>
      </w:r>
      <w:r>
        <w:rPr>
          <w:rFonts w:ascii="宋体" w:hAnsi="宋体"/>
          <w:sz w:val="24"/>
        </w:rPr>
        <w:t>超压报警，自动卸压自动闭合</w:t>
      </w:r>
      <w:r>
        <w:rPr>
          <w:rFonts w:hint="eastAsia" w:ascii="宋体" w:hAnsi="宋体"/>
          <w:sz w:val="24"/>
        </w:rPr>
        <w:t>。</w:t>
      </w:r>
    </w:p>
    <w:p>
      <w:pPr>
        <w:spacing w:line="400" w:lineRule="exact"/>
        <w:rPr>
          <w:rFonts w:hint="eastAsia" w:ascii="宋体" w:hAnsi="宋体"/>
          <w:sz w:val="24"/>
        </w:rPr>
      </w:pPr>
      <w:r>
        <w:rPr>
          <w:rFonts w:hint="eastAsia" w:ascii="宋体" w:hAnsi="宋体"/>
          <w:sz w:val="24"/>
        </w:rPr>
        <w:t>1</w:t>
      </w:r>
      <w:r>
        <w:rPr>
          <w:rFonts w:hint="eastAsia" w:ascii="宋体" w:hAnsi="宋体"/>
          <w:sz w:val="24"/>
          <w:lang w:val="en-US" w:eastAsia="zh-CN"/>
        </w:rPr>
        <w:t>4</w:t>
      </w:r>
      <w:r>
        <w:rPr>
          <w:rFonts w:hint="eastAsia" w:ascii="宋体" w:hAnsi="宋体"/>
          <w:sz w:val="24"/>
        </w:rPr>
        <w:t>、</w:t>
      </w:r>
      <w:r>
        <w:rPr>
          <w:rFonts w:hint="eastAsia"/>
          <w:sz w:val="24"/>
        </w:rPr>
        <w:t>*</w:t>
      </w:r>
      <w:r>
        <w:rPr>
          <w:rFonts w:hint="eastAsia" w:ascii="宋体" w:hAnsi="宋体"/>
          <w:sz w:val="24"/>
        </w:rPr>
        <w:t>有蒸汽循环回收功能，煎药蒸汽经风冷冷凝器回收，保障有效成份无损失，无味煎药，改善环境。</w:t>
      </w:r>
    </w:p>
    <w:p>
      <w:pPr>
        <w:spacing w:line="400" w:lineRule="exact"/>
        <w:rPr>
          <w:rFonts w:hint="eastAsia"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、自动升温灭菌功能，延长药液的保质期。</w:t>
      </w:r>
    </w:p>
    <w:p>
      <w:pPr>
        <w:spacing w:line="400" w:lineRule="exact"/>
        <w:rPr>
          <w:rFonts w:hint="eastAsia"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、可配备单体包装机。</w:t>
      </w:r>
    </w:p>
    <w:p>
      <w:pPr>
        <w:spacing w:line="400" w:lineRule="exact"/>
        <w:jc w:val="center"/>
        <w:rPr>
          <w:rFonts w:hint="eastAsia" w:eastAsia="宋体"/>
          <w:b/>
          <w:sz w:val="28"/>
          <w:szCs w:val="28"/>
          <w:lang w:eastAsia="zh-CN"/>
        </w:rPr>
      </w:pPr>
      <w:r>
        <w:rPr>
          <w:rFonts w:hint="eastAsia"/>
          <w:b/>
          <w:sz w:val="32"/>
          <w:szCs w:val="32"/>
          <w:lang w:eastAsia="zh-CN"/>
        </w:rPr>
        <w:t>全</w:t>
      </w:r>
      <w:r>
        <w:rPr>
          <w:rFonts w:hint="eastAsia"/>
          <w:b/>
          <w:sz w:val="32"/>
          <w:szCs w:val="32"/>
        </w:rPr>
        <w:t>自动煎药机</w:t>
      </w:r>
      <w:r>
        <w:rPr>
          <w:rFonts w:hint="eastAsia"/>
          <w:b/>
          <w:sz w:val="28"/>
          <w:szCs w:val="28"/>
        </w:rPr>
        <w:t>配置清单</w:t>
      </w:r>
      <w:r>
        <w:rPr>
          <w:rFonts w:hint="eastAsia"/>
          <w:b/>
          <w:sz w:val="28"/>
          <w:szCs w:val="28"/>
          <w:lang w:eastAsia="zh-CN"/>
        </w:rPr>
        <w:t>：附后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Times New Roman"/>
          <w:color w:val="auto"/>
          <w:sz w:val="24"/>
          <w:highlight w:val="none"/>
          <w:lang w:val="en-US" w:eastAsia="zh-CN"/>
        </w:rPr>
      </w:pPr>
    </w:p>
    <w:p>
      <w:pPr>
        <w:pStyle w:val="3"/>
        <w:spacing w:after="120" w:line="415" w:lineRule="auto"/>
        <w:rPr>
          <w:rFonts w:hint="eastAsia" w:ascii="仿宋" w:hAnsi="仿宋" w:eastAsia="仿宋" w:cs="Times New Roman"/>
          <w:b/>
          <w:bCs/>
          <w:color w:val="auto"/>
          <w:sz w:val="24"/>
          <w:szCs w:val="24"/>
          <w:highlight w:val="none"/>
          <w:lang w:eastAsia="zh-CN"/>
        </w:rPr>
      </w:pPr>
      <w:r>
        <w:rPr>
          <w:rFonts w:hint="eastAsia" w:ascii="仿宋" w:hAnsi="仿宋" w:eastAsia="仿宋" w:cs="Times New Roman"/>
          <w:b/>
          <w:bCs/>
          <w:color w:val="auto"/>
          <w:sz w:val="24"/>
          <w:szCs w:val="24"/>
          <w:highlight w:val="none"/>
          <w:lang w:val="en-US" w:eastAsia="zh-CN"/>
        </w:rPr>
        <w:t>三</w:t>
      </w:r>
      <w:r>
        <w:rPr>
          <w:rFonts w:hint="eastAsia" w:ascii="仿宋" w:hAnsi="仿宋" w:eastAsia="仿宋" w:cs="Times New Roman"/>
          <w:b/>
          <w:bCs/>
          <w:color w:val="auto"/>
          <w:sz w:val="24"/>
          <w:szCs w:val="24"/>
          <w:highlight w:val="none"/>
        </w:rPr>
        <w:t>、交货地点：</w:t>
      </w:r>
      <w:r>
        <w:rPr>
          <w:rFonts w:hint="eastAsia" w:ascii="仿宋" w:hAnsi="仿宋" w:eastAsia="仿宋" w:cs="Times New Roman"/>
          <w:b/>
          <w:bCs/>
          <w:color w:val="auto"/>
          <w:sz w:val="24"/>
          <w:szCs w:val="24"/>
          <w:highlight w:val="none"/>
          <w:lang w:eastAsia="zh-CN"/>
        </w:rPr>
        <w:t>郎溪县中医院</w:t>
      </w:r>
    </w:p>
    <w:p>
      <w:pPr>
        <w:pStyle w:val="3"/>
        <w:spacing w:after="120" w:line="415" w:lineRule="auto"/>
        <w:rPr>
          <w:rFonts w:hint="eastAsia"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lang w:val="en-US" w:eastAsia="zh-CN"/>
        </w:rPr>
        <w:t>四</w:t>
      </w:r>
      <w:r>
        <w:rPr>
          <w:rFonts w:hint="eastAsia" w:ascii="仿宋" w:hAnsi="仿宋" w:eastAsia="仿宋" w:cs="Times New Roman"/>
          <w:b/>
          <w:bCs/>
          <w:color w:val="auto"/>
          <w:sz w:val="24"/>
          <w:szCs w:val="24"/>
          <w:highlight w:val="none"/>
        </w:rPr>
        <w:t>、付款方式</w:t>
      </w:r>
    </w:p>
    <w:bookmarkEnd w:id="367"/>
    <w:p>
      <w:pPr>
        <w:spacing w:line="440" w:lineRule="exact"/>
        <w:ind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采购人与中标供应商签订合同后，</w:t>
      </w:r>
      <w:r>
        <w:rPr>
          <w:rFonts w:hint="eastAsia" w:ascii="仿宋" w:hAnsi="仿宋" w:eastAsia="仿宋"/>
          <w:color w:val="auto"/>
          <w:sz w:val="24"/>
          <w:highlight w:val="none"/>
          <w:lang w:val="en-US" w:eastAsia="zh-CN"/>
        </w:rPr>
        <w:t>成交</w:t>
      </w:r>
      <w:r>
        <w:rPr>
          <w:rFonts w:hint="eastAsia" w:ascii="仿宋" w:hAnsi="仿宋" w:eastAsia="仿宋"/>
          <w:color w:val="auto"/>
          <w:sz w:val="24"/>
          <w:highlight w:val="none"/>
          <w:lang w:eastAsia="zh-CN"/>
        </w:rPr>
        <w:t xml:space="preserve">供应商完成供货、安装调试并经采购人验收合格后付合同价款的 </w:t>
      </w:r>
      <w:r>
        <w:rPr>
          <w:rFonts w:hint="eastAsia" w:ascii="仿宋" w:hAnsi="仿宋" w:eastAsia="仿宋"/>
          <w:color w:val="auto"/>
          <w:sz w:val="24"/>
          <w:highlight w:val="none"/>
          <w:lang w:val="en-US" w:eastAsia="zh-CN"/>
        </w:rPr>
        <w:t>9</w:t>
      </w:r>
      <w:r>
        <w:rPr>
          <w:rFonts w:hint="eastAsia" w:ascii="仿宋" w:hAnsi="仿宋" w:eastAsia="仿宋"/>
          <w:color w:val="auto"/>
          <w:sz w:val="24"/>
          <w:highlight w:val="none"/>
          <w:lang w:eastAsia="zh-CN"/>
        </w:rPr>
        <w:t>0%，余款一年后付剩余</w:t>
      </w:r>
      <w:r>
        <w:rPr>
          <w:rFonts w:hint="eastAsia" w:ascii="仿宋" w:hAnsi="仿宋" w:eastAsia="仿宋"/>
          <w:color w:val="auto"/>
          <w:sz w:val="24"/>
          <w:highlight w:val="none"/>
          <w:lang w:val="en-US" w:eastAsia="zh-CN"/>
        </w:rPr>
        <w:t>10%。</w:t>
      </w:r>
    </w:p>
    <w:p>
      <w:pPr>
        <w:pStyle w:val="3"/>
        <w:spacing w:after="120" w:line="415" w:lineRule="auto"/>
        <w:rPr>
          <w:rFonts w:hint="default" w:ascii="仿宋" w:hAnsi="仿宋" w:eastAsia="仿宋"/>
          <w:color w:val="auto"/>
          <w:sz w:val="24"/>
          <w:highlight w:val="none"/>
          <w:lang w:val="en-US" w:eastAsia="zh-CN"/>
        </w:rPr>
      </w:pPr>
      <w:bookmarkStart w:id="368" w:name="_Toc153397846"/>
      <w:bookmarkStart w:id="369" w:name="_Toc501460781"/>
      <w:r>
        <w:rPr>
          <w:rFonts w:hint="eastAsia" w:ascii="仿宋" w:hAnsi="仿宋" w:eastAsia="仿宋" w:cs="Times New Roman"/>
          <w:b/>
          <w:bCs/>
          <w:color w:val="auto"/>
          <w:sz w:val="24"/>
          <w:szCs w:val="24"/>
          <w:highlight w:val="none"/>
          <w:lang w:val="en-US" w:eastAsia="zh-CN"/>
        </w:rPr>
        <w:t>五</w:t>
      </w:r>
      <w:r>
        <w:rPr>
          <w:rFonts w:hint="eastAsia" w:ascii="仿宋" w:hAnsi="仿宋" w:eastAsia="仿宋" w:cs="Times New Roman"/>
          <w:b/>
          <w:bCs/>
          <w:color w:val="auto"/>
          <w:sz w:val="24"/>
          <w:szCs w:val="24"/>
          <w:highlight w:val="none"/>
        </w:rPr>
        <w:t>、供货要求</w:t>
      </w:r>
      <w:bookmarkEnd w:id="368"/>
    </w:p>
    <w:p>
      <w:pPr>
        <w:spacing w:line="440" w:lineRule="exact"/>
        <w:ind w:firstLine="410" w:firstLineChars="171"/>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供应商</w:t>
      </w:r>
      <w:r>
        <w:rPr>
          <w:rFonts w:hint="eastAsia" w:ascii="仿宋" w:hAnsi="仿宋" w:eastAsia="仿宋"/>
          <w:color w:val="auto"/>
          <w:sz w:val="24"/>
          <w:highlight w:val="none"/>
        </w:rPr>
        <w:t>所报价产品必须符合本次采购要求，所供产品必须符合国家和行业有关标准，保证原厂正品供货。</w:t>
      </w:r>
    </w:p>
    <w:p>
      <w:pPr>
        <w:spacing w:line="440" w:lineRule="exact"/>
        <w:ind w:firstLine="410" w:firstLineChars="171"/>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供应商</w:t>
      </w:r>
      <w:r>
        <w:rPr>
          <w:rFonts w:hint="eastAsia" w:ascii="仿宋" w:hAnsi="仿宋" w:eastAsia="仿宋"/>
          <w:color w:val="auto"/>
          <w:sz w:val="24"/>
          <w:highlight w:val="none"/>
        </w:rPr>
        <w:t>报价包含器械、安装、调试、运费、税费、技术服务等所有费用。</w:t>
      </w:r>
    </w:p>
    <w:p>
      <w:pPr>
        <w:pStyle w:val="3"/>
        <w:spacing w:after="120" w:line="415" w:lineRule="auto"/>
        <w:rPr>
          <w:rFonts w:hint="eastAsia" w:ascii="仿宋" w:hAnsi="仿宋" w:eastAsia="仿宋"/>
          <w:color w:val="auto"/>
          <w:sz w:val="24"/>
          <w:szCs w:val="24"/>
          <w:highlight w:val="none"/>
        </w:rPr>
      </w:pPr>
      <w:bookmarkStart w:id="370" w:name="_Toc153397847"/>
      <w:r>
        <w:rPr>
          <w:rFonts w:hint="eastAsia" w:ascii="仿宋" w:hAnsi="仿宋" w:eastAsia="仿宋"/>
          <w:color w:val="auto"/>
          <w:sz w:val="24"/>
          <w:szCs w:val="24"/>
          <w:highlight w:val="none"/>
          <w:lang w:val="en-US" w:eastAsia="zh-CN"/>
        </w:rPr>
        <w:t>六</w:t>
      </w:r>
      <w:r>
        <w:rPr>
          <w:rFonts w:ascii="仿宋" w:hAnsi="仿宋" w:eastAsia="仿宋"/>
          <w:color w:val="auto"/>
          <w:sz w:val="24"/>
          <w:szCs w:val="24"/>
          <w:highlight w:val="none"/>
        </w:rPr>
        <w:t>、</w:t>
      </w:r>
      <w:r>
        <w:rPr>
          <w:rFonts w:hint="eastAsia" w:ascii="仿宋" w:hAnsi="仿宋" w:eastAsia="仿宋"/>
          <w:color w:val="auto"/>
          <w:sz w:val="24"/>
          <w:szCs w:val="24"/>
          <w:highlight w:val="none"/>
        </w:rPr>
        <w:t>验收</w:t>
      </w:r>
      <w:r>
        <w:rPr>
          <w:rFonts w:ascii="仿宋" w:hAnsi="仿宋" w:eastAsia="仿宋"/>
          <w:color w:val="auto"/>
          <w:sz w:val="24"/>
          <w:szCs w:val="24"/>
          <w:highlight w:val="none"/>
        </w:rPr>
        <w:t>要求</w:t>
      </w:r>
      <w:bookmarkEnd w:id="369"/>
      <w:bookmarkEnd w:id="370"/>
    </w:p>
    <w:p>
      <w:pPr>
        <w:spacing w:line="440" w:lineRule="exact"/>
        <w:ind w:firstLine="410" w:firstLineChars="171"/>
        <w:rPr>
          <w:rFonts w:hint="eastAsia" w:ascii="仿宋" w:hAnsi="仿宋" w:eastAsia="仿宋"/>
          <w:color w:val="auto"/>
          <w:sz w:val="24"/>
          <w:highlight w:val="none"/>
        </w:rPr>
      </w:pPr>
      <w:r>
        <w:rPr>
          <w:rFonts w:hint="eastAsia" w:ascii="仿宋" w:hAnsi="仿宋" w:eastAsia="仿宋"/>
          <w:color w:val="auto"/>
          <w:sz w:val="24"/>
          <w:highlight w:val="none"/>
        </w:rPr>
        <w:t>1. 采购人将按照国家标准或行业现行标准并参照采购样品的质量标准对</w:t>
      </w:r>
      <w:r>
        <w:rPr>
          <w:rFonts w:hint="eastAsia" w:ascii="仿宋" w:hAnsi="仿宋" w:eastAsia="仿宋"/>
          <w:color w:val="auto"/>
          <w:sz w:val="24"/>
          <w:highlight w:val="none"/>
          <w:lang w:eastAsia="zh-CN"/>
        </w:rPr>
        <w:t>成交供应商</w:t>
      </w:r>
      <w:r>
        <w:rPr>
          <w:rFonts w:hint="eastAsia" w:ascii="仿宋" w:hAnsi="仿宋" w:eastAsia="仿宋"/>
          <w:color w:val="auto"/>
          <w:sz w:val="24"/>
          <w:highlight w:val="none"/>
        </w:rPr>
        <w:t>供应的产品进行验收。</w:t>
      </w:r>
    </w:p>
    <w:p>
      <w:pPr>
        <w:spacing w:line="440" w:lineRule="exact"/>
        <w:ind w:firstLine="410" w:firstLineChars="171"/>
        <w:rPr>
          <w:rFonts w:hint="eastAsia" w:ascii="仿宋" w:hAnsi="仿宋" w:eastAsia="仿宋"/>
          <w:color w:val="auto"/>
          <w:sz w:val="24"/>
          <w:highlight w:val="none"/>
        </w:rPr>
      </w:pPr>
      <w:r>
        <w:rPr>
          <w:rFonts w:hint="eastAsia" w:ascii="仿宋" w:hAnsi="仿宋" w:eastAsia="仿宋"/>
          <w:color w:val="auto"/>
          <w:sz w:val="24"/>
          <w:highlight w:val="none"/>
        </w:rPr>
        <w:t>2. 验收内容包括但不限于查看产品的名称、规格、产地、价格、注册证、批号、效期等。</w:t>
      </w:r>
    </w:p>
    <w:p>
      <w:pPr>
        <w:spacing w:line="440" w:lineRule="exact"/>
        <w:ind w:firstLine="410" w:firstLineChars="171"/>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 经验收，</w:t>
      </w:r>
      <w:r>
        <w:rPr>
          <w:rFonts w:hint="eastAsia" w:ascii="仿宋" w:hAnsi="仿宋" w:eastAsia="仿宋"/>
          <w:color w:val="auto"/>
          <w:sz w:val="24"/>
          <w:highlight w:val="none"/>
          <w:lang w:eastAsia="zh-CN"/>
        </w:rPr>
        <w:t>成交供应商</w:t>
      </w:r>
      <w:r>
        <w:rPr>
          <w:rFonts w:hint="eastAsia" w:ascii="仿宋" w:hAnsi="仿宋" w:eastAsia="仿宋"/>
          <w:color w:val="auto"/>
          <w:sz w:val="24"/>
          <w:highlight w:val="none"/>
        </w:rPr>
        <w:t>供应的产品不合格时，采购人第一时间通知</w:t>
      </w:r>
      <w:r>
        <w:rPr>
          <w:rFonts w:hint="eastAsia" w:ascii="仿宋" w:hAnsi="仿宋" w:eastAsia="仿宋"/>
          <w:color w:val="auto"/>
          <w:sz w:val="24"/>
          <w:highlight w:val="none"/>
          <w:lang w:eastAsia="zh-CN"/>
        </w:rPr>
        <w:t>成交供应商</w:t>
      </w: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成交供应商</w:t>
      </w:r>
      <w:r>
        <w:rPr>
          <w:rFonts w:hint="eastAsia" w:ascii="仿宋" w:hAnsi="仿宋" w:eastAsia="仿宋"/>
          <w:color w:val="auto"/>
          <w:sz w:val="24"/>
          <w:highlight w:val="none"/>
        </w:rPr>
        <w:t>必须无条件进行更换；如果再次验收仍不合格时，采购人有权退货直至解除供货协议，所造成的一切损失由</w:t>
      </w:r>
      <w:r>
        <w:rPr>
          <w:rFonts w:hint="eastAsia" w:ascii="仿宋" w:hAnsi="仿宋" w:eastAsia="仿宋"/>
          <w:color w:val="auto"/>
          <w:sz w:val="24"/>
          <w:highlight w:val="none"/>
          <w:lang w:eastAsia="zh-CN"/>
        </w:rPr>
        <w:t>成交供应商</w:t>
      </w:r>
      <w:r>
        <w:rPr>
          <w:rFonts w:hint="eastAsia" w:ascii="仿宋" w:hAnsi="仿宋" w:eastAsia="仿宋"/>
          <w:color w:val="auto"/>
          <w:sz w:val="24"/>
          <w:highlight w:val="none"/>
        </w:rPr>
        <w:t>负责。</w:t>
      </w:r>
    </w:p>
    <w:p>
      <w:pPr>
        <w:pStyle w:val="3"/>
        <w:spacing w:after="120" w:line="415" w:lineRule="auto"/>
        <w:rPr>
          <w:rFonts w:hint="eastAsia" w:ascii="仿宋" w:hAnsi="仿宋" w:eastAsia="仿宋" w:cs="Times New Roman"/>
          <w:b/>
          <w:bCs/>
          <w:color w:val="auto"/>
          <w:sz w:val="24"/>
          <w:szCs w:val="24"/>
          <w:highlight w:val="none"/>
          <w:lang w:val="en-US" w:eastAsia="zh-CN"/>
        </w:rPr>
      </w:pPr>
      <w:bookmarkStart w:id="371" w:name="_Toc153397848"/>
      <w:bookmarkStart w:id="372" w:name="_Toc501460782"/>
      <w:r>
        <w:rPr>
          <w:rFonts w:hint="eastAsia" w:ascii="仿宋" w:hAnsi="仿宋" w:eastAsia="仿宋" w:cs="Times New Roman"/>
          <w:b/>
          <w:bCs/>
          <w:color w:val="auto"/>
          <w:sz w:val="24"/>
          <w:szCs w:val="24"/>
          <w:highlight w:val="none"/>
          <w:lang w:val="en-US" w:eastAsia="zh-CN"/>
        </w:rPr>
        <w:t>七、技术服务和其他要求</w:t>
      </w:r>
      <w:bookmarkEnd w:id="371"/>
      <w:bookmarkEnd w:id="372"/>
    </w:p>
    <w:p>
      <w:pPr>
        <w:spacing w:line="440" w:lineRule="exact"/>
        <w:ind w:firstLine="410" w:firstLineChars="171"/>
        <w:rPr>
          <w:rFonts w:hint="eastAsia" w:ascii="仿宋" w:hAnsi="仿宋" w:eastAsia="仿宋"/>
          <w:color w:val="auto"/>
          <w:sz w:val="24"/>
          <w:highlight w:val="none"/>
        </w:rPr>
      </w:pPr>
      <w:r>
        <w:rPr>
          <w:rFonts w:hint="eastAsia" w:ascii="仿宋" w:hAnsi="仿宋" w:eastAsia="仿宋"/>
          <w:color w:val="auto"/>
          <w:sz w:val="24"/>
          <w:highlight w:val="none"/>
        </w:rPr>
        <w:t xml:space="preserve">1. </w:t>
      </w:r>
      <w:r>
        <w:rPr>
          <w:rFonts w:hint="eastAsia" w:ascii="仿宋" w:hAnsi="仿宋" w:eastAsia="仿宋"/>
          <w:color w:val="auto"/>
          <w:sz w:val="24"/>
          <w:highlight w:val="none"/>
          <w:lang w:eastAsia="zh-CN"/>
        </w:rPr>
        <w:t>成交供应商</w:t>
      </w:r>
      <w:r>
        <w:rPr>
          <w:rFonts w:hint="eastAsia" w:ascii="仿宋" w:hAnsi="仿宋" w:eastAsia="仿宋"/>
          <w:color w:val="auto"/>
          <w:sz w:val="24"/>
          <w:highlight w:val="none"/>
        </w:rPr>
        <w:t>必须具备并提供所供应产品相适应的专业指导、技术培训和售后服务，或约定由相关机构提供技术支持。</w:t>
      </w:r>
    </w:p>
    <w:p>
      <w:pPr>
        <w:spacing w:line="440" w:lineRule="exact"/>
        <w:ind w:firstLine="410" w:firstLineChars="171"/>
        <w:rPr>
          <w:rFonts w:hint="eastAsia" w:ascii="仿宋" w:hAnsi="仿宋" w:eastAsia="仿宋"/>
          <w:color w:val="auto"/>
          <w:sz w:val="24"/>
          <w:highlight w:val="none"/>
        </w:rPr>
      </w:pPr>
      <w:r>
        <w:rPr>
          <w:rFonts w:hint="eastAsia" w:ascii="仿宋" w:hAnsi="仿宋" w:eastAsia="仿宋"/>
          <w:color w:val="auto"/>
          <w:sz w:val="24"/>
          <w:highlight w:val="none"/>
        </w:rPr>
        <w:t xml:space="preserve">2. </w:t>
      </w:r>
      <w:r>
        <w:rPr>
          <w:rFonts w:hint="eastAsia" w:ascii="仿宋" w:hAnsi="仿宋" w:eastAsia="仿宋"/>
          <w:color w:val="auto"/>
          <w:sz w:val="24"/>
          <w:highlight w:val="none"/>
          <w:lang w:eastAsia="zh-CN"/>
        </w:rPr>
        <w:t>成交供应商</w:t>
      </w:r>
      <w:r>
        <w:rPr>
          <w:rFonts w:hint="eastAsia" w:ascii="仿宋" w:hAnsi="仿宋" w:eastAsia="仿宋"/>
          <w:color w:val="auto"/>
          <w:sz w:val="24"/>
          <w:highlight w:val="none"/>
        </w:rPr>
        <w:t>对产品在保质期内的质量负责，如采购人有疑问，</w:t>
      </w:r>
      <w:r>
        <w:rPr>
          <w:rFonts w:hint="eastAsia" w:ascii="仿宋" w:hAnsi="仿宋" w:eastAsia="仿宋"/>
          <w:color w:val="auto"/>
          <w:sz w:val="24"/>
          <w:highlight w:val="none"/>
          <w:lang w:eastAsia="zh-CN"/>
        </w:rPr>
        <w:t>成交供应商</w:t>
      </w:r>
      <w:r>
        <w:rPr>
          <w:rFonts w:hint="eastAsia" w:ascii="仿宋" w:hAnsi="仿宋" w:eastAsia="仿宋"/>
          <w:color w:val="auto"/>
          <w:sz w:val="24"/>
          <w:highlight w:val="none"/>
        </w:rPr>
        <w:t>应在12小时内应答。</w:t>
      </w:r>
    </w:p>
    <w:p>
      <w:pPr>
        <w:spacing w:line="440" w:lineRule="exact"/>
        <w:ind w:firstLine="410" w:firstLineChars="171"/>
        <w:rPr>
          <w:rFonts w:hint="eastAsia" w:ascii="仿宋" w:hAnsi="仿宋" w:eastAsia="仿宋"/>
          <w:color w:val="auto"/>
          <w:sz w:val="24"/>
          <w:highlight w:val="none"/>
        </w:rPr>
      </w:pPr>
      <w:r>
        <w:rPr>
          <w:rFonts w:hint="eastAsia" w:ascii="仿宋" w:hAnsi="仿宋" w:eastAsia="仿宋"/>
          <w:color w:val="auto"/>
          <w:sz w:val="24"/>
          <w:highlight w:val="none"/>
        </w:rPr>
        <w:t>3. 采购人检验或使用科室发现产品有质量问题，经核实后，</w:t>
      </w:r>
      <w:r>
        <w:rPr>
          <w:rFonts w:hint="eastAsia" w:ascii="仿宋" w:hAnsi="仿宋" w:eastAsia="仿宋"/>
          <w:color w:val="auto"/>
          <w:sz w:val="24"/>
          <w:highlight w:val="none"/>
          <w:lang w:eastAsia="zh-CN"/>
        </w:rPr>
        <w:t>成交供应商</w:t>
      </w:r>
      <w:r>
        <w:rPr>
          <w:rFonts w:hint="eastAsia" w:ascii="仿宋" w:hAnsi="仿宋" w:eastAsia="仿宋"/>
          <w:color w:val="auto"/>
          <w:sz w:val="24"/>
          <w:highlight w:val="none"/>
        </w:rPr>
        <w:t>必须无条件退换，所造成的一切损失由乙方承担，采购人保留进一步追究其责任的权利。</w:t>
      </w:r>
    </w:p>
    <w:p>
      <w:pPr>
        <w:spacing w:line="440" w:lineRule="exact"/>
        <w:ind w:firstLine="410" w:firstLineChars="171"/>
        <w:rPr>
          <w:rFonts w:hint="eastAsia" w:ascii="仿宋" w:hAnsi="仿宋" w:eastAsia="仿宋"/>
          <w:color w:val="auto"/>
          <w:sz w:val="24"/>
          <w:highlight w:val="none"/>
        </w:rPr>
      </w:pPr>
      <w:r>
        <w:rPr>
          <w:rFonts w:hint="eastAsia" w:ascii="仿宋" w:hAnsi="仿宋" w:eastAsia="仿宋"/>
          <w:color w:val="auto"/>
          <w:sz w:val="24"/>
          <w:highlight w:val="none"/>
        </w:rPr>
        <w:t>4. 若交货地点或收货人变更，采购人必须提前与</w:t>
      </w:r>
      <w:r>
        <w:rPr>
          <w:rFonts w:hint="eastAsia" w:ascii="仿宋" w:hAnsi="仿宋" w:eastAsia="仿宋"/>
          <w:color w:val="auto"/>
          <w:sz w:val="24"/>
          <w:highlight w:val="none"/>
          <w:lang w:eastAsia="zh-CN"/>
        </w:rPr>
        <w:t>成交供应商</w:t>
      </w:r>
      <w:r>
        <w:rPr>
          <w:rFonts w:hint="eastAsia" w:ascii="仿宋" w:hAnsi="仿宋" w:eastAsia="仿宋"/>
          <w:color w:val="auto"/>
          <w:sz w:val="24"/>
          <w:highlight w:val="none"/>
        </w:rPr>
        <w:t>协商后解决，否则，采购人承担</w:t>
      </w:r>
      <w:r>
        <w:rPr>
          <w:rFonts w:hint="eastAsia" w:ascii="仿宋" w:hAnsi="仿宋" w:eastAsia="仿宋"/>
          <w:color w:val="auto"/>
          <w:sz w:val="24"/>
          <w:highlight w:val="none"/>
          <w:lang w:eastAsia="zh-CN"/>
        </w:rPr>
        <w:t>成交供应商</w:t>
      </w:r>
      <w:r>
        <w:rPr>
          <w:rFonts w:hint="eastAsia" w:ascii="仿宋" w:hAnsi="仿宋" w:eastAsia="仿宋"/>
          <w:color w:val="auto"/>
          <w:sz w:val="24"/>
          <w:highlight w:val="none"/>
        </w:rPr>
        <w:t>损失。</w:t>
      </w:r>
    </w:p>
    <w:p>
      <w:pPr>
        <w:spacing w:line="440" w:lineRule="exact"/>
        <w:ind w:firstLine="410" w:firstLineChars="171"/>
        <w:rPr>
          <w:rFonts w:hint="eastAsia" w:ascii="仿宋" w:hAnsi="仿宋" w:eastAsia="仿宋"/>
          <w:color w:val="auto"/>
          <w:sz w:val="24"/>
          <w:highlight w:val="none"/>
        </w:rPr>
      </w:pPr>
      <w:r>
        <w:rPr>
          <w:rFonts w:hint="eastAsia" w:ascii="仿宋" w:hAnsi="仿宋" w:eastAsia="仿宋"/>
          <w:color w:val="auto"/>
          <w:sz w:val="24"/>
          <w:highlight w:val="none"/>
        </w:rPr>
        <w:t>5. 凡因</w:t>
      </w:r>
      <w:r>
        <w:rPr>
          <w:rFonts w:hint="eastAsia" w:ascii="仿宋" w:hAnsi="仿宋" w:eastAsia="仿宋"/>
          <w:color w:val="auto"/>
          <w:sz w:val="24"/>
          <w:highlight w:val="none"/>
          <w:lang w:eastAsia="zh-CN"/>
        </w:rPr>
        <w:t>成交供应商</w:t>
      </w:r>
      <w:r>
        <w:rPr>
          <w:rFonts w:hint="eastAsia" w:ascii="仿宋" w:hAnsi="仿宋" w:eastAsia="仿宋"/>
          <w:color w:val="auto"/>
          <w:sz w:val="24"/>
          <w:highlight w:val="none"/>
        </w:rPr>
        <w:t>所生产或经销的产品质量问题引起的医疗事故、医疗纠纷与一切后果，将由</w:t>
      </w:r>
      <w:r>
        <w:rPr>
          <w:rFonts w:hint="eastAsia" w:ascii="仿宋" w:hAnsi="仿宋" w:eastAsia="仿宋"/>
          <w:color w:val="auto"/>
          <w:sz w:val="24"/>
          <w:highlight w:val="none"/>
          <w:lang w:eastAsia="zh-CN"/>
        </w:rPr>
        <w:t>成交供应商</w:t>
      </w:r>
      <w:r>
        <w:rPr>
          <w:rFonts w:hint="eastAsia" w:ascii="仿宋" w:hAnsi="仿宋" w:eastAsia="仿宋"/>
          <w:color w:val="auto"/>
          <w:sz w:val="24"/>
          <w:highlight w:val="none"/>
        </w:rPr>
        <w:t xml:space="preserve">承担所有的责任。 </w:t>
      </w:r>
    </w:p>
    <w:p>
      <w:pPr>
        <w:spacing w:line="440" w:lineRule="exact"/>
        <w:ind w:firstLine="410" w:firstLineChars="171"/>
        <w:rPr>
          <w:highlight w:val="none"/>
        </w:rPr>
      </w:pPr>
      <w:r>
        <w:rPr>
          <w:rFonts w:hint="eastAsia" w:ascii="仿宋" w:hAnsi="仿宋" w:eastAsia="仿宋"/>
          <w:color w:val="auto"/>
          <w:sz w:val="24"/>
          <w:highlight w:val="none"/>
        </w:rPr>
        <w:t>6. 合同执行期内，</w:t>
      </w:r>
      <w:r>
        <w:rPr>
          <w:rFonts w:hint="eastAsia" w:ascii="仿宋" w:hAnsi="仿宋" w:eastAsia="仿宋"/>
          <w:color w:val="auto"/>
          <w:sz w:val="24"/>
          <w:highlight w:val="none"/>
          <w:lang w:eastAsia="zh-CN"/>
        </w:rPr>
        <w:t>成交供应商</w:t>
      </w:r>
      <w:r>
        <w:rPr>
          <w:rFonts w:hint="eastAsia" w:ascii="仿宋" w:hAnsi="仿宋" w:eastAsia="仿宋"/>
          <w:color w:val="auto"/>
          <w:sz w:val="24"/>
          <w:highlight w:val="none"/>
        </w:rPr>
        <w:t>须保证采购人的正常供应需求</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且如因</w:t>
      </w:r>
      <w:r>
        <w:rPr>
          <w:rFonts w:hint="eastAsia" w:ascii="仿宋" w:hAnsi="仿宋" w:eastAsia="仿宋"/>
          <w:color w:val="auto"/>
          <w:sz w:val="24"/>
          <w:highlight w:val="none"/>
          <w:lang w:eastAsia="zh-CN"/>
        </w:rPr>
        <w:t>成交供应商</w:t>
      </w:r>
      <w:r>
        <w:rPr>
          <w:rFonts w:hint="eastAsia" w:ascii="仿宋" w:hAnsi="仿宋" w:eastAsia="仿宋"/>
          <w:color w:val="auto"/>
          <w:sz w:val="24"/>
          <w:highlight w:val="none"/>
        </w:rPr>
        <w:t>原因造成合同无法执行（不可抗力因素除外），采购人有权追究</w:t>
      </w:r>
      <w:r>
        <w:rPr>
          <w:rFonts w:hint="eastAsia" w:ascii="仿宋" w:hAnsi="仿宋" w:eastAsia="仿宋"/>
          <w:color w:val="auto"/>
          <w:sz w:val="24"/>
          <w:highlight w:val="none"/>
          <w:lang w:eastAsia="zh-CN"/>
        </w:rPr>
        <w:t>成交供应商</w:t>
      </w:r>
      <w:r>
        <w:rPr>
          <w:rFonts w:hint="eastAsia" w:ascii="仿宋" w:hAnsi="仿宋" w:eastAsia="仿宋"/>
          <w:color w:val="auto"/>
          <w:sz w:val="24"/>
          <w:highlight w:val="none"/>
        </w:rPr>
        <w:t>的相关违约责任。</w:t>
      </w:r>
    </w:p>
    <w:p>
      <w:pPr>
        <w:spacing w:line="440" w:lineRule="exact"/>
        <w:ind w:firstLine="410" w:firstLineChars="171"/>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7.保修及售后服务：依据商品的保修条款及售后服务条款，提供原厂质保，质保期按照国家规定，且不低于所供品牌向用户承诺的质保期限，采购文件另有约定的从其约定。质保期从货物验收合格后算起。</w:t>
      </w:r>
    </w:p>
    <w:p>
      <w:pPr>
        <w:rPr>
          <w:rFonts w:hint="eastAsia" w:ascii="仿宋" w:hAnsi="仿宋" w:eastAsia="仿宋"/>
          <w:color w:val="auto"/>
          <w:sz w:val="24"/>
          <w:highlight w:val="none"/>
        </w:rPr>
      </w:pPr>
    </w:p>
    <w:p>
      <w:pPr>
        <w:pStyle w:val="2"/>
        <w:jc w:val="center"/>
        <w:rPr>
          <w:rFonts w:ascii="Times New Roman" w:hAnsi="Times New Roman" w:eastAsia="黑体"/>
          <w:sz w:val="28"/>
          <w:szCs w:val="28"/>
          <w:highlight w:val="none"/>
          <w:u w:val="single"/>
        </w:rPr>
      </w:pPr>
      <w:r>
        <w:rPr>
          <w:rFonts w:ascii="仿宋" w:hAnsi="仿宋" w:eastAsia="仿宋"/>
          <w:color w:val="auto"/>
          <w:kern w:val="2"/>
          <w:sz w:val="24"/>
          <w:szCs w:val="24"/>
          <w:highlight w:val="none"/>
        </w:rPr>
        <w:br w:type="page"/>
      </w:r>
      <w:bookmarkStart w:id="373" w:name="_Toc19469"/>
      <w:bookmarkStart w:id="374" w:name="_Toc460660233"/>
      <w:bookmarkStart w:id="375" w:name="_Toc390411629"/>
      <w:bookmarkStart w:id="376" w:name="_Toc460227118"/>
      <w:bookmarkStart w:id="377" w:name="_Toc421917010"/>
      <w:r>
        <w:rPr>
          <w:highlight w:val="none"/>
        </w:rPr>
        <w:t>第六章</w:t>
      </w:r>
      <w:r>
        <w:rPr>
          <w:rFonts w:hint="eastAsia"/>
          <w:highlight w:val="none"/>
        </w:rPr>
        <w:t xml:space="preserve">  响应文件</w:t>
      </w:r>
      <w:r>
        <w:rPr>
          <w:highlight w:val="none"/>
        </w:rPr>
        <w:t>格式</w:t>
      </w:r>
      <w:bookmarkEnd w:id="373"/>
      <w:bookmarkStart w:id="436" w:name="_GoBack"/>
      <w:bookmarkEnd w:id="436"/>
    </w:p>
    <w:p>
      <w:pPr>
        <w:jc w:val="center"/>
        <w:rPr>
          <w:rFonts w:ascii="Times New Roman" w:hAnsi="Times New Roman" w:eastAsia="黑体"/>
          <w:sz w:val="28"/>
          <w:szCs w:val="28"/>
          <w:highlight w:val="none"/>
          <w:u w:val="single"/>
        </w:rPr>
      </w:pPr>
      <w:r>
        <w:rPr>
          <w:rFonts w:ascii="Times New Roman" w:hAnsi="Times New Roman" w:eastAsia="黑体"/>
          <w:sz w:val="28"/>
          <w:szCs w:val="28"/>
          <w:highlight w:val="none"/>
          <w:u w:val="single"/>
        </w:rPr>
        <w:t xml:space="preserve">   </w:t>
      </w:r>
      <w:r>
        <w:rPr>
          <w:rFonts w:hint="eastAsia" w:ascii="Times New Roman" w:hAnsi="Times New Roman" w:eastAsia="黑体"/>
          <w:sz w:val="28"/>
          <w:szCs w:val="28"/>
          <w:highlight w:val="none"/>
          <w:u w:val="single"/>
        </w:rPr>
        <w:t xml:space="preserve">        </w:t>
      </w:r>
      <w:r>
        <w:rPr>
          <w:rFonts w:ascii="Times New Roman" w:hAnsi="Times New Roman" w:eastAsia="黑体"/>
          <w:sz w:val="28"/>
          <w:szCs w:val="28"/>
          <w:highlight w:val="none"/>
          <w:u w:val="single"/>
        </w:rPr>
        <w:t xml:space="preserve">  </w:t>
      </w:r>
      <w:r>
        <w:rPr>
          <w:rFonts w:hint="eastAsia" w:ascii="Times New Roman" w:hAnsi="Times New Roman" w:eastAsia="黑体"/>
          <w:sz w:val="28"/>
          <w:szCs w:val="28"/>
          <w:highlight w:val="none"/>
          <w:u w:val="single"/>
        </w:rPr>
        <w:t xml:space="preserve"> </w:t>
      </w:r>
      <w:r>
        <w:rPr>
          <w:rFonts w:ascii="Times New Roman" w:hAnsi="Times New Roman" w:eastAsia="黑体"/>
          <w:sz w:val="28"/>
          <w:szCs w:val="28"/>
          <w:highlight w:val="none"/>
          <w:u w:val="single"/>
        </w:rPr>
        <w:t xml:space="preserve">   （项目名称）</w:t>
      </w:r>
    </w:p>
    <w:p>
      <w:pPr>
        <w:rPr>
          <w:rFonts w:ascii="Times New Roman" w:hAnsi="Times New Roman" w:eastAsia="黑体"/>
          <w:color w:val="000000"/>
          <w:sz w:val="20"/>
          <w:highlight w:val="none"/>
        </w:rPr>
      </w:pPr>
    </w:p>
    <w:p>
      <w:pPr>
        <w:rPr>
          <w:rFonts w:ascii="Times New Roman" w:hAnsi="Times New Roman" w:eastAsia="黑体"/>
          <w:color w:val="000000"/>
          <w:sz w:val="20"/>
          <w:highlight w:val="none"/>
        </w:rPr>
      </w:pPr>
    </w:p>
    <w:p>
      <w:pPr>
        <w:jc w:val="center"/>
        <w:rPr>
          <w:rFonts w:ascii="Times New Roman" w:hAnsi="Times New Roman" w:eastAsia="黑体"/>
          <w:color w:val="000000"/>
          <w:sz w:val="44"/>
          <w:highlight w:val="none"/>
        </w:rPr>
      </w:pPr>
      <w:r>
        <w:rPr>
          <w:rFonts w:hint="eastAsia" w:ascii="Times New Roman" w:hAnsi="Times New Roman" w:eastAsia="黑体"/>
          <w:color w:val="000000"/>
          <w:sz w:val="44"/>
          <w:highlight w:val="none"/>
        </w:rPr>
        <w:t>响应文件</w:t>
      </w:r>
    </w:p>
    <w:p>
      <w:pPr>
        <w:jc w:val="center"/>
        <w:rPr>
          <w:rFonts w:ascii="Times New Roman" w:hAnsi="Times New Roman" w:eastAsia="黑体"/>
          <w:color w:val="000000"/>
          <w:sz w:val="44"/>
          <w:highlight w:val="none"/>
        </w:rPr>
      </w:pPr>
    </w:p>
    <w:p>
      <w:pPr>
        <w:rPr>
          <w:rFonts w:ascii="Times New Roman" w:hAnsi="Times New Roman" w:eastAsia="黑体"/>
          <w:color w:val="000000"/>
          <w:sz w:val="28"/>
          <w:highlight w:val="none"/>
        </w:rPr>
      </w:pPr>
    </w:p>
    <w:p>
      <w:pPr>
        <w:rPr>
          <w:rFonts w:ascii="Times New Roman" w:hAnsi="Times New Roman" w:eastAsia="黑体"/>
          <w:color w:val="000000"/>
          <w:sz w:val="28"/>
          <w:highlight w:val="none"/>
        </w:rPr>
      </w:pPr>
    </w:p>
    <w:p>
      <w:pPr>
        <w:rPr>
          <w:rFonts w:ascii="Times New Roman" w:hAnsi="Times New Roman" w:eastAsia="黑体"/>
          <w:color w:val="000000"/>
          <w:sz w:val="28"/>
          <w:highlight w:val="none"/>
        </w:rPr>
      </w:pPr>
    </w:p>
    <w:p>
      <w:pPr>
        <w:rPr>
          <w:rFonts w:ascii="Times New Roman" w:hAnsi="Times New Roman" w:eastAsia="黑体"/>
          <w:color w:val="000000"/>
          <w:sz w:val="28"/>
          <w:highlight w:val="none"/>
        </w:rPr>
      </w:pPr>
    </w:p>
    <w:p>
      <w:pPr>
        <w:rPr>
          <w:rFonts w:ascii="Times New Roman" w:hAnsi="Times New Roman" w:eastAsia="黑体"/>
          <w:color w:val="000000"/>
          <w:sz w:val="28"/>
          <w:highlight w:val="none"/>
        </w:rPr>
      </w:pPr>
    </w:p>
    <w:p>
      <w:pPr>
        <w:rPr>
          <w:rFonts w:ascii="Times New Roman" w:hAnsi="Times New Roman" w:eastAsia="黑体"/>
          <w:color w:val="000000"/>
          <w:sz w:val="28"/>
          <w:highlight w:val="none"/>
        </w:rPr>
      </w:pPr>
    </w:p>
    <w:p>
      <w:pPr>
        <w:rPr>
          <w:rFonts w:ascii="Times New Roman" w:hAnsi="Times New Roman" w:eastAsia="黑体"/>
          <w:color w:val="000000"/>
          <w:sz w:val="28"/>
          <w:highlight w:val="none"/>
        </w:rPr>
      </w:pPr>
    </w:p>
    <w:p>
      <w:pPr>
        <w:rPr>
          <w:rFonts w:ascii="Times New Roman" w:hAnsi="Times New Roman" w:eastAsia="黑体"/>
          <w:color w:val="000000"/>
          <w:sz w:val="28"/>
          <w:highlight w:val="none"/>
        </w:rPr>
      </w:pPr>
    </w:p>
    <w:p>
      <w:pPr>
        <w:rPr>
          <w:rFonts w:ascii="Times New Roman" w:hAnsi="Times New Roman" w:eastAsia="黑体"/>
          <w:color w:val="000000"/>
          <w:sz w:val="28"/>
          <w:highlight w:val="none"/>
        </w:rPr>
      </w:pPr>
    </w:p>
    <w:p>
      <w:pPr>
        <w:rPr>
          <w:rFonts w:ascii="Times New Roman" w:hAnsi="Times New Roman" w:eastAsia="黑体"/>
          <w:color w:val="000000"/>
          <w:sz w:val="28"/>
          <w:highlight w:val="none"/>
        </w:rPr>
      </w:pPr>
    </w:p>
    <w:p>
      <w:pPr>
        <w:rPr>
          <w:rFonts w:ascii="Times New Roman" w:hAnsi="Times New Roman" w:eastAsia="黑体"/>
          <w:color w:val="000000"/>
          <w:sz w:val="28"/>
          <w:highlight w:val="none"/>
        </w:rPr>
      </w:pPr>
    </w:p>
    <w:p>
      <w:pPr>
        <w:rPr>
          <w:rFonts w:ascii="Times New Roman" w:hAnsi="Times New Roman" w:eastAsia="黑体"/>
          <w:color w:val="000000"/>
          <w:sz w:val="28"/>
          <w:highlight w:val="none"/>
        </w:rPr>
      </w:pPr>
    </w:p>
    <w:p>
      <w:pPr>
        <w:rPr>
          <w:rFonts w:ascii="Times New Roman" w:hAnsi="Times New Roman" w:eastAsia="黑体"/>
          <w:color w:val="000000"/>
          <w:sz w:val="28"/>
          <w:highlight w:val="none"/>
        </w:rPr>
      </w:pPr>
    </w:p>
    <w:p>
      <w:pPr>
        <w:rPr>
          <w:rFonts w:ascii="Times New Roman" w:hAnsi="Times New Roman" w:eastAsia="黑体"/>
          <w:color w:val="000000"/>
          <w:sz w:val="28"/>
          <w:highlight w:val="none"/>
        </w:rPr>
      </w:pPr>
    </w:p>
    <w:p>
      <w:pPr>
        <w:rPr>
          <w:rFonts w:ascii="Times New Roman" w:hAnsi="Times New Roman" w:eastAsia="黑体"/>
          <w:color w:val="000000"/>
          <w:sz w:val="28"/>
          <w:highlight w:val="none"/>
        </w:rPr>
      </w:pPr>
    </w:p>
    <w:p>
      <w:pPr>
        <w:rPr>
          <w:rFonts w:ascii="Times New Roman" w:hAnsi="Times New Roman" w:eastAsia="黑体"/>
          <w:color w:val="000000"/>
          <w:sz w:val="28"/>
          <w:highlight w:val="none"/>
        </w:rPr>
      </w:pPr>
    </w:p>
    <w:p>
      <w:pPr>
        <w:rPr>
          <w:rFonts w:ascii="Times New Roman" w:hAnsi="Times New Roman" w:eastAsia="黑体"/>
          <w:color w:val="000000"/>
          <w:sz w:val="28"/>
          <w:highlight w:val="none"/>
        </w:rPr>
      </w:pPr>
    </w:p>
    <w:p>
      <w:pPr>
        <w:spacing w:line="360" w:lineRule="auto"/>
        <w:rPr>
          <w:rFonts w:ascii="Times New Roman" w:hAnsi="Times New Roman" w:eastAsia="黑体"/>
          <w:color w:val="000000"/>
          <w:sz w:val="28"/>
          <w:highlight w:val="none"/>
        </w:rPr>
      </w:pPr>
    </w:p>
    <w:p>
      <w:pPr>
        <w:spacing w:line="360" w:lineRule="auto"/>
        <w:ind w:firstLine="1120" w:firstLineChars="400"/>
        <w:rPr>
          <w:rFonts w:ascii="Times New Roman" w:hAnsi="Times New Roman" w:eastAsia="黑体"/>
          <w:color w:val="000000"/>
          <w:sz w:val="28"/>
          <w:highlight w:val="none"/>
          <w:u w:val="single"/>
        </w:rPr>
      </w:pPr>
      <w:r>
        <w:rPr>
          <w:rFonts w:hint="eastAsia" w:ascii="Times New Roman" w:hAnsi="Times New Roman" w:eastAsia="黑体"/>
          <w:color w:val="000000"/>
          <w:sz w:val="28"/>
          <w:highlight w:val="none"/>
        </w:rPr>
        <w:t>供应商</w:t>
      </w:r>
      <w:r>
        <w:rPr>
          <w:rFonts w:ascii="Times New Roman" w:hAnsi="Times New Roman" w:eastAsia="黑体"/>
          <w:color w:val="000000"/>
          <w:sz w:val="28"/>
          <w:highlight w:val="none"/>
        </w:rPr>
        <w:t>：</w:t>
      </w:r>
      <w:r>
        <w:rPr>
          <w:rFonts w:ascii="Times New Roman" w:hAnsi="Times New Roman"/>
          <w:color w:val="000000"/>
          <w:highlight w:val="none"/>
          <w:u w:val="single"/>
        </w:rPr>
        <w:t xml:space="preserve">                                           </w:t>
      </w:r>
    </w:p>
    <w:p>
      <w:pPr>
        <w:jc w:val="center"/>
        <w:rPr>
          <w:rFonts w:ascii="Times New Roman" w:hAnsi="Times New Roman" w:eastAsia="黑体"/>
          <w:color w:val="000000"/>
          <w:sz w:val="28"/>
          <w:highlight w:val="none"/>
        </w:rPr>
      </w:pPr>
    </w:p>
    <w:p>
      <w:pPr>
        <w:spacing w:line="400" w:lineRule="exact"/>
        <w:jc w:val="center"/>
        <w:rPr>
          <w:rFonts w:ascii="Times New Roman" w:hAnsi="Times New Roman"/>
          <w:color w:val="000000"/>
          <w:highlight w:val="none"/>
        </w:rPr>
      </w:pPr>
      <w:r>
        <w:rPr>
          <w:rFonts w:ascii="Times New Roman" w:hAnsi="Times New Roman"/>
          <w:color w:val="000000"/>
          <w:highlight w:val="none"/>
          <w:u w:val="single"/>
        </w:rPr>
        <w:t xml:space="preserve">       </w:t>
      </w:r>
      <w:r>
        <w:rPr>
          <w:rFonts w:ascii="Times New Roman" w:hAnsi="Times New Roman" w:eastAsia="黑体"/>
          <w:color w:val="000000"/>
          <w:sz w:val="28"/>
          <w:highlight w:val="none"/>
        </w:rPr>
        <w:t>年</w:t>
      </w:r>
      <w:r>
        <w:rPr>
          <w:rFonts w:ascii="Times New Roman" w:hAnsi="Times New Roman"/>
          <w:color w:val="000000"/>
          <w:highlight w:val="none"/>
          <w:u w:val="single"/>
        </w:rPr>
        <w:t xml:space="preserve">       </w:t>
      </w:r>
      <w:r>
        <w:rPr>
          <w:rFonts w:ascii="Times New Roman" w:hAnsi="Times New Roman" w:eastAsia="黑体"/>
          <w:color w:val="000000"/>
          <w:sz w:val="28"/>
          <w:highlight w:val="none"/>
        </w:rPr>
        <w:t>月</w:t>
      </w:r>
      <w:r>
        <w:rPr>
          <w:rFonts w:ascii="Times New Roman" w:hAnsi="Times New Roman"/>
          <w:color w:val="000000"/>
          <w:highlight w:val="none"/>
          <w:u w:val="single"/>
        </w:rPr>
        <w:t xml:space="preserve">       </w:t>
      </w:r>
      <w:r>
        <w:rPr>
          <w:rFonts w:ascii="Times New Roman" w:hAnsi="Times New Roman" w:eastAsia="黑体"/>
          <w:color w:val="000000"/>
          <w:sz w:val="28"/>
          <w:highlight w:val="none"/>
        </w:rPr>
        <w:t>日</w:t>
      </w:r>
      <w:r>
        <w:rPr>
          <w:rFonts w:ascii="Times New Roman" w:hAnsi="Times New Roman"/>
          <w:color w:val="000000"/>
          <w:highlight w:val="none"/>
        </w:rPr>
        <w:br w:type="page"/>
      </w:r>
    </w:p>
    <w:bookmarkEnd w:id="374"/>
    <w:bookmarkEnd w:id="375"/>
    <w:bookmarkEnd w:id="376"/>
    <w:bookmarkEnd w:id="377"/>
    <w:p>
      <w:pPr>
        <w:spacing w:before="240" w:beforeLines="100" w:after="240" w:afterLines="100"/>
        <w:jc w:val="center"/>
        <w:rPr>
          <w:rFonts w:hint="eastAsia" w:ascii="黑体" w:eastAsia="黑体"/>
          <w:color w:val="auto"/>
          <w:sz w:val="28"/>
          <w:szCs w:val="28"/>
          <w:highlight w:val="none"/>
        </w:rPr>
      </w:pPr>
      <w:r>
        <w:rPr>
          <w:rFonts w:hint="eastAsia" w:ascii="黑体" w:eastAsia="黑体"/>
          <w:color w:val="auto"/>
          <w:sz w:val="28"/>
          <w:szCs w:val="28"/>
          <w:highlight w:val="none"/>
        </w:rPr>
        <w:t>目  录</w:t>
      </w:r>
    </w:p>
    <w:p>
      <w:pPr>
        <w:spacing w:line="600" w:lineRule="exact"/>
        <w:rPr>
          <w:rFonts w:hint="eastAsia" w:ascii="宋体" w:hAnsi="宋体"/>
          <w:color w:val="auto"/>
          <w:szCs w:val="21"/>
          <w:highlight w:val="none"/>
        </w:rPr>
      </w:pPr>
      <w:r>
        <w:rPr>
          <w:rFonts w:hint="eastAsia" w:ascii="宋体" w:hAnsi="宋体"/>
          <w:color w:val="auto"/>
          <w:szCs w:val="21"/>
          <w:highlight w:val="none"/>
        </w:rPr>
        <w:t>一、响应函</w:t>
      </w:r>
    </w:p>
    <w:p>
      <w:pPr>
        <w:spacing w:line="600" w:lineRule="exact"/>
        <w:rPr>
          <w:rFonts w:hint="eastAsia" w:ascii="宋体" w:hAnsi="宋体"/>
          <w:color w:val="auto"/>
          <w:szCs w:val="21"/>
          <w:highlight w:val="none"/>
        </w:rPr>
      </w:pPr>
      <w:r>
        <w:rPr>
          <w:rFonts w:hint="eastAsia" w:ascii="宋体" w:hAnsi="宋体"/>
          <w:color w:val="auto"/>
          <w:szCs w:val="21"/>
          <w:highlight w:val="none"/>
        </w:rPr>
        <w:t>二、法定代表人（单位负责人）身份证明或授权委托书</w:t>
      </w:r>
    </w:p>
    <w:p>
      <w:pPr>
        <w:spacing w:line="600" w:lineRule="exact"/>
        <w:rPr>
          <w:rFonts w:hint="eastAsia" w:ascii="宋体" w:hAnsi="宋体"/>
          <w:color w:val="auto"/>
          <w:szCs w:val="21"/>
          <w:highlight w:val="none"/>
        </w:rPr>
      </w:pPr>
      <w:r>
        <w:rPr>
          <w:rFonts w:hint="eastAsia" w:ascii="宋体" w:hAnsi="宋体"/>
          <w:color w:val="auto"/>
          <w:szCs w:val="21"/>
          <w:highlight w:val="none"/>
        </w:rPr>
        <w:t>三、响应保证金</w:t>
      </w:r>
    </w:p>
    <w:p>
      <w:pPr>
        <w:spacing w:line="600" w:lineRule="exact"/>
        <w:rPr>
          <w:rFonts w:hint="eastAsia" w:ascii="宋体" w:hAnsi="宋体"/>
          <w:color w:val="auto"/>
          <w:szCs w:val="21"/>
          <w:highlight w:val="none"/>
        </w:rPr>
      </w:pPr>
      <w:r>
        <w:rPr>
          <w:rFonts w:hint="eastAsia" w:ascii="宋体" w:hAnsi="宋体"/>
          <w:color w:val="auto"/>
          <w:szCs w:val="21"/>
          <w:highlight w:val="none"/>
        </w:rPr>
        <w:t>四、</w:t>
      </w:r>
      <w:r>
        <w:rPr>
          <w:rFonts w:hint="eastAsia" w:ascii="宋体" w:hAnsi="宋体"/>
          <w:color w:val="auto"/>
          <w:szCs w:val="21"/>
          <w:highlight w:val="none"/>
          <w:lang w:val="en-US" w:eastAsia="zh-CN"/>
        </w:rPr>
        <w:t>开标一览表</w:t>
      </w:r>
      <w:r>
        <w:rPr>
          <w:rFonts w:hint="eastAsia" w:ascii="宋体" w:hAnsi="宋体"/>
          <w:color w:val="auto"/>
          <w:szCs w:val="21"/>
          <w:highlight w:val="none"/>
        </w:rPr>
        <w:t>；</w:t>
      </w:r>
    </w:p>
    <w:p>
      <w:pPr>
        <w:spacing w:line="600" w:lineRule="exact"/>
        <w:rPr>
          <w:rFonts w:hint="eastAsia" w:ascii="宋体" w:hAnsi="宋体"/>
          <w:color w:val="auto"/>
          <w:szCs w:val="21"/>
          <w:highlight w:val="none"/>
        </w:rPr>
      </w:pPr>
      <w:r>
        <w:rPr>
          <w:rFonts w:hint="eastAsia" w:ascii="宋体" w:hAnsi="宋体"/>
          <w:color w:val="auto"/>
          <w:szCs w:val="21"/>
          <w:highlight w:val="none"/>
          <w:lang w:val="en-US" w:eastAsia="zh-CN"/>
        </w:rPr>
        <w:t>五</w:t>
      </w:r>
      <w:r>
        <w:rPr>
          <w:rFonts w:hint="eastAsia" w:ascii="宋体" w:hAnsi="宋体"/>
          <w:color w:val="auto"/>
          <w:szCs w:val="21"/>
          <w:highlight w:val="none"/>
        </w:rPr>
        <w:t>、资格审查资料</w:t>
      </w:r>
    </w:p>
    <w:p>
      <w:pPr>
        <w:numPr>
          <w:ilvl w:val="0"/>
          <w:numId w:val="4"/>
        </w:numPr>
        <w:spacing w:line="600" w:lineRule="exact"/>
        <w:rPr>
          <w:rFonts w:hint="eastAsia" w:ascii="宋体" w:hAnsi="宋体"/>
          <w:color w:val="auto"/>
          <w:szCs w:val="21"/>
          <w:highlight w:val="none"/>
        </w:rPr>
      </w:pPr>
      <w:r>
        <w:rPr>
          <w:rFonts w:hint="eastAsia" w:ascii="宋体" w:hAnsi="宋体"/>
          <w:color w:val="auto"/>
          <w:szCs w:val="21"/>
          <w:highlight w:val="none"/>
        </w:rPr>
        <w:t>响应/偏离表</w:t>
      </w:r>
    </w:p>
    <w:p>
      <w:pPr>
        <w:numPr>
          <w:ilvl w:val="0"/>
          <w:numId w:val="4"/>
        </w:numPr>
        <w:spacing w:line="600" w:lineRule="exact"/>
        <w:rPr>
          <w:rFonts w:hint="eastAsia" w:ascii="宋体" w:hAnsi="宋体"/>
          <w:color w:val="auto"/>
          <w:szCs w:val="21"/>
          <w:highlight w:val="none"/>
        </w:rPr>
      </w:pPr>
      <w:r>
        <w:rPr>
          <w:rFonts w:hint="eastAsia" w:ascii="宋体" w:hAnsi="宋体"/>
          <w:color w:val="auto"/>
          <w:szCs w:val="21"/>
          <w:highlight w:val="none"/>
        </w:rPr>
        <w:t>其他资料</w:t>
      </w:r>
    </w:p>
    <w:p>
      <w:pPr>
        <w:pStyle w:val="3"/>
        <w:jc w:val="center"/>
        <w:rPr>
          <w:rFonts w:ascii="Times New Roman" w:hAnsi="Times New Roman"/>
          <w:color w:val="auto"/>
          <w:highlight w:val="none"/>
        </w:rPr>
      </w:pPr>
      <w:r>
        <w:rPr>
          <w:rFonts w:ascii="宋体"/>
          <w:color w:val="auto"/>
          <w:szCs w:val="21"/>
          <w:highlight w:val="none"/>
        </w:rPr>
        <w:br w:type="page"/>
      </w:r>
      <w:bookmarkStart w:id="378" w:name="_Toc460227108"/>
      <w:bookmarkStart w:id="379" w:name="_Toc460660223"/>
      <w:bookmarkStart w:id="380" w:name="_Toc421917001"/>
      <w:bookmarkStart w:id="381" w:name="_Toc390411621"/>
      <w:bookmarkStart w:id="382" w:name="_Toc224103496"/>
      <w:r>
        <w:rPr>
          <w:rFonts w:hint="eastAsia" w:ascii="黑体" w:hAnsi="Calibri" w:eastAsia="黑体" w:cs="Times New Roman"/>
          <w:b w:val="0"/>
          <w:color w:val="auto"/>
          <w:kern w:val="2"/>
          <w:sz w:val="28"/>
          <w:szCs w:val="20"/>
          <w:highlight w:val="none"/>
          <w:lang w:val="en-US" w:eastAsia="zh-CN" w:bidi="ar-SA"/>
        </w:rPr>
        <w:t>一、</w:t>
      </w:r>
      <w:bookmarkStart w:id="383" w:name="_Toc369531692"/>
      <w:bookmarkStart w:id="384" w:name="_Toc352691656"/>
      <w:bookmarkStart w:id="385" w:name="_Toc6931"/>
      <w:r>
        <w:rPr>
          <w:rFonts w:hint="eastAsia" w:ascii="黑体" w:hAnsi="Calibri" w:eastAsia="黑体" w:cs="Times New Roman"/>
          <w:b w:val="0"/>
          <w:color w:val="auto"/>
          <w:kern w:val="2"/>
          <w:sz w:val="28"/>
          <w:szCs w:val="20"/>
          <w:highlight w:val="none"/>
          <w:lang w:val="en-US" w:eastAsia="zh-CN" w:bidi="ar-SA"/>
        </w:rPr>
        <w:t>响应函</w:t>
      </w:r>
    </w:p>
    <w:bookmarkEnd w:id="383"/>
    <w:bookmarkEnd w:id="384"/>
    <w:bookmarkEnd w:id="385"/>
    <w:p>
      <w:pPr>
        <w:spacing w:line="440" w:lineRule="exact"/>
        <w:rPr>
          <w:rFonts w:ascii="Times New Roman" w:hAnsi="Times New Roman"/>
          <w:color w:val="auto"/>
          <w:szCs w:val="21"/>
          <w:highlight w:val="none"/>
        </w:rPr>
      </w:pPr>
      <w:r>
        <w:rPr>
          <w:rFonts w:ascii="Times New Roman" w:hAnsi="Times New Roman"/>
          <w:color w:val="auto"/>
          <w:highlight w:val="none"/>
          <w:u w:val="single"/>
        </w:rPr>
        <w:t xml:space="preserve">                  </w:t>
      </w:r>
      <w:r>
        <w:rPr>
          <w:rFonts w:ascii="Times New Roman" w:hAnsi="Times New Roman"/>
          <w:color w:val="auto"/>
          <w:szCs w:val="21"/>
          <w:highlight w:val="none"/>
          <w:u w:val="single"/>
        </w:rPr>
        <w:t>（</w:t>
      </w:r>
      <w:r>
        <w:rPr>
          <w:rFonts w:hint="eastAsia" w:ascii="Times New Roman" w:hAnsi="Times New Roman"/>
          <w:color w:val="auto"/>
          <w:szCs w:val="21"/>
          <w:highlight w:val="none"/>
          <w:u w:val="single"/>
        </w:rPr>
        <w:t>采购人</w:t>
      </w:r>
      <w:r>
        <w:rPr>
          <w:rFonts w:ascii="Times New Roman" w:hAnsi="Times New Roman"/>
          <w:color w:val="auto"/>
          <w:szCs w:val="21"/>
          <w:highlight w:val="none"/>
          <w:u w:val="single"/>
        </w:rPr>
        <w:t>名称）</w:t>
      </w:r>
      <w:r>
        <w:rPr>
          <w:rFonts w:ascii="Times New Roman" w:hAnsi="Times New Roman"/>
          <w:color w:val="auto"/>
          <w:szCs w:val="21"/>
          <w:highlight w:val="none"/>
        </w:rPr>
        <w:t>：</w:t>
      </w:r>
    </w:p>
    <w:p>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1．我方已仔细研究了</w:t>
      </w:r>
      <w:r>
        <w:rPr>
          <w:rFonts w:ascii="Times New Roman" w:hAnsi="Times New Roman"/>
          <w:color w:val="auto"/>
          <w:highlight w:val="none"/>
          <w:u w:val="single"/>
        </w:rPr>
        <w:t xml:space="preserve">                  （项目名称）</w:t>
      </w:r>
      <w:r>
        <w:rPr>
          <w:rFonts w:hint="eastAsia" w:ascii="Times New Roman" w:hAnsi="Times New Roman"/>
          <w:color w:val="auto"/>
          <w:szCs w:val="21"/>
          <w:highlight w:val="none"/>
        </w:rPr>
        <w:t>采购文件</w:t>
      </w:r>
      <w:r>
        <w:rPr>
          <w:rFonts w:ascii="Times New Roman" w:hAnsi="Times New Roman"/>
          <w:color w:val="auto"/>
          <w:szCs w:val="21"/>
          <w:highlight w:val="none"/>
        </w:rPr>
        <w:t>的全部内容，愿意以含税价人民币（大写）</w:t>
      </w:r>
      <w:r>
        <w:rPr>
          <w:rFonts w:ascii="Times New Roman" w:hAnsi="Times New Roman"/>
          <w:color w:val="auto"/>
          <w:highlight w:val="none"/>
          <w:u w:val="single"/>
        </w:rPr>
        <w:t xml:space="preserve">               </w:t>
      </w:r>
      <w:r>
        <w:rPr>
          <w:rFonts w:ascii="Times New Roman" w:hAnsi="Times New Roman"/>
          <w:color w:val="auto"/>
          <w:szCs w:val="21"/>
          <w:highlight w:val="none"/>
        </w:rPr>
        <w:t>（¥</w:t>
      </w:r>
      <w:r>
        <w:rPr>
          <w:rFonts w:ascii="Times New Roman" w:hAnsi="Times New Roman"/>
          <w:color w:val="auto"/>
          <w:highlight w:val="none"/>
          <w:u w:val="single"/>
        </w:rPr>
        <w:t xml:space="preserve">               </w:t>
      </w:r>
      <w:r>
        <w:rPr>
          <w:rFonts w:ascii="Times New Roman" w:hAnsi="Times New Roman"/>
          <w:color w:val="auto"/>
          <w:szCs w:val="21"/>
          <w:highlight w:val="none"/>
        </w:rPr>
        <w:t>）的报价（其中</w:t>
      </w:r>
      <w:r>
        <w:rPr>
          <w:rFonts w:hint="eastAsia" w:ascii="Times New Roman" w:hAnsi="Times New Roman"/>
          <w:color w:val="auto"/>
          <w:szCs w:val="21"/>
          <w:highlight w:val="none"/>
        </w:rPr>
        <w:t>不含税价为：</w:t>
      </w:r>
      <w:r>
        <w:rPr>
          <w:rFonts w:ascii="Times New Roman" w:hAnsi="Times New Roman" w:eastAsia="黑体"/>
          <w:color w:val="auto"/>
          <w:sz w:val="28"/>
          <w:highlight w:val="none"/>
          <w:u w:val="single"/>
        </w:rPr>
        <w:t xml:space="preserve">       </w:t>
      </w:r>
      <w:r>
        <w:rPr>
          <w:rFonts w:ascii="Times New Roman" w:hAnsi="Times New Roman"/>
          <w:color w:val="auto"/>
          <w:szCs w:val="21"/>
          <w:highlight w:val="none"/>
        </w:rPr>
        <w:t>，增值税</w:t>
      </w:r>
      <w:r>
        <w:rPr>
          <w:rFonts w:hint="eastAsia" w:ascii="Times New Roman" w:hAnsi="Times New Roman"/>
          <w:color w:val="auto"/>
          <w:szCs w:val="21"/>
          <w:highlight w:val="none"/>
        </w:rPr>
        <w:t>税额</w:t>
      </w:r>
      <w:r>
        <w:rPr>
          <w:rFonts w:ascii="Times New Roman" w:hAnsi="Times New Roman"/>
          <w:color w:val="auto"/>
          <w:szCs w:val="21"/>
          <w:highlight w:val="none"/>
        </w:rPr>
        <w:t>为</w:t>
      </w:r>
      <w:r>
        <w:rPr>
          <w:rFonts w:hint="eastAsia" w:ascii="Times New Roman" w:hAnsi="Times New Roman"/>
          <w:color w:val="auto"/>
          <w:szCs w:val="21"/>
          <w:highlight w:val="none"/>
        </w:rPr>
        <w:t>：</w:t>
      </w:r>
      <w:r>
        <w:rPr>
          <w:rFonts w:ascii="Times New Roman" w:hAnsi="Times New Roman" w:eastAsia="黑体"/>
          <w:color w:val="auto"/>
          <w:sz w:val="28"/>
          <w:highlight w:val="none"/>
          <w:u w:val="single"/>
        </w:rPr>
        <w:t xml:space="preserve">         </w:t>
      </w:r>
      <w:r>
        <w:rPr>
          <w:rFonts w:ascii="Times New Roman" w:hAnsi="Times New Roman"/>
          <w:color w:val="auto"/>
          <w:szCs w:val="21"/>
          <w:highlight w:val="none"/>
        </w:rPr>
        <w:t>）</w:t>
      </w:r>
      <w:r>
        <w:rPr>
          <w:rFonts w:hint="eastAsia" w:ascii="Times New Roman" w:hAnsi="Times New Roman"/>
          <w:color w:val="auto"/>
          <w:szCs w:val="21"/>
          <w:highlight w:val="none"/>
        </w:rPr>
        <w:t>完成/提供</w:t>
      </w:r>
      <w:r>
        <w:rPr>
          <w:rFonts w:hint="eastAsia" w:ascii="Times New Roman" w:hAnsi="Times New Roman"/>
          <w:color w:val="auto"/>
          <w:highlight w:val="none"/>
        </w:rPr>
        <w:t>本</w:t>
      </w:r>
      <w:r>
        <w:rPr>
          <w:rFonts w:ascii="Times New Roman" w:hAnsi="Times New Roman"/>
          <w:color w:val="auto"/>
          <w:highlight w:val="none"/>
        </w:rPr>
        <w:t>项目</w:t>
      </w:r>
      <w:r>
        <w:rPr>
          <w:rFonts w:hint="eastAsia" w:ascii="Times New Roman" w:hAnsi="Times New Roman"/>
          <w:color w:val="auto"/>
          <w:szCs w:val="21"/>
          <w:highlight w:val="none"/>
        </w:rPr>
        <w:t>货物</w:t>
      </w:r>
      <w:r>
        <w:rPr>
          <w:rFonts w:ascii="Times New Roman" w:hAnsi="Times New Roman"/>
          <w:color w:val="auto"/>
          <w:szCs w:val="21"/>
          <w:highlight w:val="none"/>
        </w:rPr>
        <w:t>，并按合同约定履行义务。</w:t>
      </w:r>
    </w:p>
    <w:p>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 我方的</w:t>
      </w:r>
      <w:r>
        <w:rPr>
          <w:rFonts w:hint="eastAsia" w:ascii="Times New Roman" w:hAnsi="Times New Roman"/>
          <w:color w:val="auto"/>
          <w:szCs w:val="21"/>
          <w:highlight w:val="none"/>
        </w:rPr>
        <w:t>响应文件</w:t>
      </w:r>
      <w:r>
        <w:rPr>
          <w:rFonts w:ascii="Times New Roman" w:hAnsi="Times New Roman"/>
          <w:color w:val="auto"/>
          <w:szCs w:val="21"/>
          <w:highlight w:val="none"/>
        </w:rPr>
        <w:t>包括下列内容：</w:t>
      </w:r>
    </w:p>
    <w:p>
      <w:pPr>
        <w:spacing w:line="400" w:lineRule="exact"/>
        <w:ind w:firstLine="405"/>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响应函</w:t>
      </w:r>
      <w:r>
        <w:rPr>
          <w:rFonts w:ascii="Times New Roman" w:hAnsi="Times New Roman"/>
          <w:color w:val="auto"/>
          <w:highlight w:val="none"/>
        </w:rPr>
        <w:t>；</w:t>
      </w:r>
    </w:p>
    <w:p>
      <w:pPr>
        <w:spacing w:line="400" w:lineRule="exact"/>
        <w:ind w:firstLine="405"/>
        <w:rPr>
          <w:rFonts w:ascii="Times New Roman" w:hAnsi="Times New Roman"/>
          <w:color w:val="auto"/>
          <w:highlight w:val="none"/>
        </w:rPr>
      </w:pPr>
      <w:r>
        <w:rPr>
          <w:rFonts w:ascii="Times New Roman" w:hAnsi="Times New Roman"/>
          <w:color w:val="auto"/>
          <w:highlight w:val="none"/>
        </w:rPr>
        <w:t>（2）授权委托书</w:t>
      </w:r>
      <w:r>
        <w:rPr>
          <w:rFonts w:hint="eastAsia" w:ascii="Times New Roman" w:hAnsi="Times New Roman"/>
          <w:color w:val="auto"/>
          <w:highlight w:val="none"/>
        </w:rPr>
        <w:t>（如有）</w:t>
      </w:r>
      <w:r>
        <w:rPr>
          <w:rFonts w:ascii="Times New Roman" w:hAnsi="Times New Roman"/>
          <w:color w:val="auto"/>
          <w:highlight w:val="none"/>
        </w:rPr>
        <w:t>；</w:t>
      </w:r>
    </w:p>
    <w:p>
      <w:pPr>
        <w:spacing w:line="400" w:lineRule="exact"/>
        <w:ind w:firstLine="405"/>
        <w:rPr>
          <w:rFonts w:ascii="Times New Roman" w:hAnsi="Times New Roman"/>
          <w:color w:val="auto"/>
          <w:highlight w:val="none"/>
        </w:rPr>
      </w:pPr>
      <w:r>
        <w:rPr>
          <w:rFonts w:ascii="Times New Roman" w:hAnsi="Times New Roman"/>
          <w:color w:val="auto"/>
          <w:highlight w:val="none"/>
        </w:rPr>
        <w:t>（3）联合体协议书（如有）；</w:t>
      </w:r>
    </w:p>
    <w:p>
      <w:pPr>
        <w:spacing w:line="400" w:lineRule="exact"/>
        <w:ind w:firstLine="405"/>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响应保证金</w:t>
      </w:r>
      <w:r>
        <w:rPr>
          <w:rFonts w:ascii="Times New Roman" w:hAnsi="Times New Roman"/>
          <w:color w:val="auto"/>
          <w:highlight w:val="none"/>
        </w:rPr>
        <w:t>（如有）；</w:t>
      </w:r>
    </w:p>
    <w:p>
      <w:pPr>
        <w:spacing w:line="400" w:lineRule="exact"/>
        <w:ind w:firstLine="405"/>
        <w:rPr>
          <w:rFonts w:ascii="Times New Roman" w:hAnsi="Times New Roman"/>
          <w:color w:val="auto"/>
          <w:highlight w:val="none"/>
        </w:rPr>
      </w:pPr>
      <w:r>
        <w:rPr>
          <w:rFonts w:ascii="Times New Roman" w:hAnsi="Times New Roman"/>
          <w:color w:val="auto"/>
          <w:highlight w:val="none"/>
        </w:rPr>
        <w:t>（5）商务和技术偏差表；</w:t>
      </w:r>
    </w:p>
    <w:p>
      <w:pPr>
        <w:spacing w:line="400" w:lineRule="exact"/>
        <w:ind w:firstLine="405"/>
        <w:rPr>
          <w:rFonts w:ascii="Times New Roman" w:hAnsi="Times New Roman"/>
          <w:color w:val="auto"/>
          <w:highlight w:val="none"/>
        </w:rPr>
      </w:pPr>
      <w:r>
        <w:rPr>
          <w:rFonts w:ascii="Times New Roman" w:hAnsi="Times New Roman"/>
          <w:color w:val="auto"/>
          <w:highlight w:val="none"/>
        </w:rPr>
        <w:t>（6）</w:t>
      </w:r>
      <w:r>
        <w:rPr>
          <w:rFonts w:hint="eastAsia" w:ascii="Times New Roman" w:hAnsi="Times New Roman"/>
          <w:color w:val="auto"/>
          <w:highlight w:val="none"/>
        </w:rPr>
        <w:t>报价表</w:t>
      </w:r>
      <w:r>
        <w:rPr>
          <w:rFonts w:ascii="Times New Roman" w:hAnsi="Times New Roman"/>
          <w:color w:val="auto"/>
          <w:highlight w:val="none"/>
        </w:rPr>
        <w:t>；</w:t>
      </w:r>
    </w:p>
    <w:p>
      <w:pPr>
        <w:spacing w:line="400" w:lineRule="exact"/>
        <w:ind w:firstLine="405"/>
        <w:rPr>
          <w:rFonts w:ascii="Times New Roman" w:hAnsi="Times New Roman"/>
          <w:color w:val="auto"/>
          <w:highlight w:val="none"/>
        </w:rPr>
      </w:pPr>
      <w:r>
        <w:rPr>
          <w:rFonts w:ascii="Times New Roman" w:hAnsi="Times New Roman"/>
          <w:color w:val="auto"/>
          <w:highlight w:val="none"/>
        </w:rPr>
        <w:t>（7）资格审查资料；</w:t>
      </w:r>
    </w:p>
    <w:p>
      <w:pPr>
        <w:spacing w:line="400" w:lineRule="exact"/>
        <w:ind w:firstLine="405"/>
        <w:rPr>
          <w:rFonts w:ascii="Times New Roman" w:hAnsi="Times New Roman"/>
          <w:color w:val="auto"/>
          <w:highlight w:val="none"/>
        </w:rPr>
      </w:pPr>
      <w:r>
        <w:rPr>
          <w:rFonts w:ascii="Times New Roman" w:hAnsi="Times New Roman"/>
          <w:color w:val="auto"/>
          <w:highlight w:val="none"/>
        </w:rPr>
        <w:t>（8）</w:t>
      </w:r>
      <w:r>
        <w:rPr>
          <w:rFonts w:hint="eastAsia" w:ascii="Times New Roman" w:hAnsi="Times New Roman"/>
          <w:color w:val="auto"/>
          <w:highlight w:val="none"/>
        </w:rPr>
        <w:t>响应方案；</w:t>
      </w:r>
    </w:p>
    <w:p>
      <w:pPr>
        <w:spacing w:line="400" w:lineRule="exact"/>
        <w:ind w:firstLine="405"/>
        <w:rPr>
          <w:rFonts w:ascii="Times New Roman" w:hAnsi="Times New Roman"/>
          <w:color w:val="auto"/>
          <w:sz w:val="22"/>
          <w:highlight w:val="none"/>
        </w:rPr>
      </w:pPr>
      <w:r>
        <w:rPr>
          <w:rFonts w:ascii="Times New Roman" w:hAnsi="Times New Roman"/>
          <w:color w:val="auto"/>
          <w:highlight w:val="none"/>
        </w:rPr>
        <w:t>……</w:t>
      </w:r>
    </w:p>
    <w:p>
      <w:pPr>
        <w:spacing w:line="44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响应文件</w:t>
      </w:r>
      <w:r>
        <w:rPr>
          <w:rFonts w:ascii="Times New Roman" w:hAnsi="Times New Roman"/>
          <w:color w:val="auto"/>
          <w:szCs w:val="21"/>
          <w:highlight w:val="none"/>
        </w:rPr>
        <w:t>的上述组成部分如存在内容不一致的，以</w:t>
      </w:r>
      <w:r>
        <w:rPr>
          <w:rFonts w:hint="eastAsia" w:ascii="Times New Roman" w:hAnsi="Times New Roman"/>
          <w:color w:val="auto"/>
          <w:szCs w:val="21"/>
          <w:highlight w:val="none"/>
        </w:rPr>
        <w:t>响应函</w:t>
      </w:r>
      <w:r>
        <w:rPr>
          <w:rFonts w:ascii="Times New Roman" w:hAnsi="Times New Roman"/>
          <w:color w:val="auto"/>
          <w:szCs w:val="21"/>
          <w:highlight w:val="none"/>
        </w:rPr>
        <w:t>为准。</w:t>
      </w:r>
    </w:p>
    <w:p>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3．我方承诺除</w:t>
      </w:r>
      <w:r>
        <w:rPr>
          <w:rFonts w:ascii="Times New Roman" w:hAnsi="Times New Roman"/>
          <w:color w:val="auto"/>
          <w:sz w:val="22"/>
          <w:highlight w:val="none"/>
        </w:rPr>
        <w:t>商务和技术</w:t>
      </w:r>
      <w:r>
        <w:rPr>
          <w:rFonts w:ascii="Times New Roman" w:hAnsi="Times New Roman"/>
          <w:color w:val="auto"/>
          <w:szCs w:val="21"/>
          <w:highlight w:val="none"/>
        </w:rPr>
        <w:t>偏差表列出的偏差外，我方响应</w:t>
      </w:r>
      <w:r>
        <w:rPr>
          <w:rFonts w:hint="eastAsia" w:ascii="Times New Roman" w:hAnsi="Times New Roman"/>
          <w:color w:val="auto"/>
          <w:szCs w:val="21"/>
          <w:highlight w:val="none"/>
        </w:rPr>
        <w:t>采购文件</w:t>
      </w:r>
      <w:r>
        <w:rPr>
          <w:rFonts w:ascii="Times New Roman" w:hAnsi="Times New Roman"/>
          <w:color w:val="auto"/>
          <w:szCs w:val="21"/>
          <w:highlight w:val="none"/>
        </w:rPr>
        <w:t>的全部要求。</w:t>
      </w:r>
    </w:p>
    <w:p>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4．我方承诺在</w:t>
      </w:r>
      <w:r>
        <w:rPr>
          <w:rFonts w:hint="eastAsia" w:ascii="Times New Roman" w:hAnsi="Times New Roman"/>
          <w:color w:val="auto"/>
          <w:szCs w:val="21"/>
          <w:highlight w:val="none"/>
        </w:rPr>
        <w:t>采购文件</w:t>
      </w:r>
      <w:r>
        <w:rPr>
          <w:rFonts w:ascii="Times New Roman" w:hAnsi="Times New Roman"/>
          <w:color w:val="auto"/>
          <w:szCs w:val="21"/>
          <w:highlight w:val="none"/>
        </w:rPr>
        <w:t>规定的</w:t>
      </w:r>
      <w:r>
        <w:rPr>
          <w:rFonts w:hint="eastAsia" w:ascii="Times New Roman" w:hAnsi="Times New Roman"/>
          <w:color w:val="auto"/>
          <w:szCs w:val="21"/>
          <w:highlight w:val="none"/>
        </w:rPr>
        <w:t>响应文件有效期</w:t>
      </w:r>
      <w:r>
        <w:rPr>
          <w:rFonts w:ascii="Times New Roman" w:hAnsi="Times New Roman"/>
          <w:color w:val="auto"/>
          <w:szCs w:val="21"/>
          <w:highlight w:val="none"/>
        </w:rPr>
        <w:t>内不撤销</w:t>
      </w:r>
      <w:r>
        <w:rPr>
          <w:rFonts w:hint="eastAsia" w:ascii="Times New Roman" w:hAnsi="Times New Roman"/>
          <w:color w:val="auto"/>
          <w:szCs w:val="21"/>
          <w:highlight w:val="none"/>
        </w:rPr>
        <w:t>响应文件</w:t>
      </w:r>
      <w:r>
        <w:rPr>
          <w:rFonts w:ascii="Times New Roman" w:hAnsi="Times New Roman"/>
          <w:color w:val="auto"/>
          <w:szCs w:val="21"/>
          <w:highlight w:val="none"/>
        </w:rPr>
        <w:t>。</w:t>
      </w:r>
    </w:p>
    <w:p>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5．如我方</w:t>
      </w:r>
      <w:r>
        <w:rPr>
          <w:rFonts w:hint="eastAsia" w:ascii="Times New Roman" w:hAnsi="Times New Roman"/>
          <w:color w:val="auto"/>
          <w:szCs w:val="21"/>
          <w:highlight w:val="none"/>
        </w:rPr>
        <w:t>成交</w:t>
      </w:r>
      <w:r>
        <w:rPr>
          <w:rFonts w:ascii="Times New Roman" w:hAnsi="Times New Roman"/>
          <w:color w:val="auto"/>
          <w:szCs w:val="21"/>
          <w:highlight w:val="none"/>
        </w:rPr>
        <w:t>，我方承诺：</w:t>
      </w:r>
    </w:p>
    <w:p>
      <w:pPr>
        <w:spacing w:line="400" w:lineRule="exact"/>
        <w:ind w:firstLine="405"/>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1</w:t>
      </w:r>
      <w:r>
        <w:rPr>
          <w:rFonts w:hint="eastAsia" w:ascii="Times New Roman" w:hAnsi="Times New Roman"/>
          <w:color w:val="auto"/>
          <w:highlight w:val="none"/>
        </w:rPr>
        <w:t>）在收到成交通知书后，在成交通知书规定的期限内与你方签订合同；</w:t>
      </w:r>
    </w:p>
    <w:p>
      <w:pPr>
        <w:spacing w:line="400" w:lineRule="exact"/>
        <w:ind w:firstLine="405"/>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2</w:t>
      </w:r>
      <w:r>
        <w:rPr>
          <w:rFonts w:hint="eastAsia" w:ascii="Times New Roman" w:hAnsi="Times New Roman"/>
          <w:color w:val="auto"/>
          <w:highlight w:val="none"/>
        </w:rPr>
        <w:t>）在签订合同时不向你方提出附加条件；</w:t>
      </w:r>
    </w:p>
    <w:p>
      <w:pPr>
        <w:spacing w:line="400" w:lineRule="exact"/>
        <w:ind w:firstLine="405"/>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3</w:t>
      </w:r>
      <w:r>
        <w:rPr>
          <w:rFonts w:hint="eastAsia" w:ascii="Times New Roman" w:hAnsi="Times New Roman"/>
          <w:color w:val="auto"/>
          <w:highlight w:val="none"/>
        </w:rPr>
        <w:t>）按照采购文件要求递交履约保证金；</w:t>
      </w:r>
      <w:bookmarkStart w:id="386" w:name="_Toc352691658"/>
      <w:bookmarkStart w:id="387" w:name="_Toc369531694"/>
      <w:bookmarkStart w:id="388" w:name="_Toc1187"/>
    </w:p>
    <w:p>
      <w:pPr>
        <w:spacing w:line="400" w:lineRule="exact"/>
        <w:ind w:firstLine="405"/>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4</w:t>
      </w:r>
      <w:bookmarkEnd w:id="386"/>
      <w:bookmarkEnd w:id="387"/>
      <w:bookmarkEnd w:id="388"/>
      <w:r>
        <w:rPr>
          <w:rFonts w:hint="eastAsia" w:ascii="Times New Roman" w:hAnsi="Times New Roman"/>
          <w:color w:val="auto"/>
          <w:highlight w:val="none"/>
        </w:rPr>
        <w:t>）在合同约定的期限内完成合同规定的全部义务。</w:t>
      </w:r>
    </w:p>
    <w:p>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6．</w:t>
      </w:r>
      <w:r>
        <w:rPr>
          <w:rFonts w:ascii="Times New Roman" w:hAnsi="Times New Roman"/>
          <w:color w:val="auto"/>
          <w:highlight w:val="none"/>
        </w:rPr>
        <w:t>我方在此声明，所递交的</w:t>
      </w:r>
      <w:r>
        <w:rPr>
          <w:rFonts w:hint="eastAsia" w:ascii="Times New Roman" w:hAnsi="Times New Roman"/>
          <w:color w:val="auto"/>
          <w:highlight w:val="none"/>
        </w:rPr>
        <w:t>响应文件</w:t>
      </w:r>
      <w:r>
        <w:rPr>
          <w:rFonts w:ascii="Times New Roman" w:hAnsi="Times New Roman"/>
          <w:color w:val="auto"/>
          <w:highlight w:val="none"/>
        </w:rPr>
        <w:t>及有关资料内容完整、真实和准确，且不存在第</w:t>
      </w:r>
      <w:r>
        <w:rPr>
          <w:rFonts w:hint="eastAsia" w:ascii="Times New Roman" w:hAnsi="Times New Roman"/>
          <w:color w:val="auto"/>
          <w:highlight w:val="none"/>
        </w:rPr>
        <w:t>一</w:t>
      </w:r>
      <w:r>
        <w:rPr>
          <w:rFonts w:ascii="Times New Roman" w:hAnsi="Times New Roman"/>
          <w:color w:val="auto"/>
          <w:highlight w:val="none"/>
        </w:rPr>
        <w:t>章“</w:t>
      </w:r>
      <w:r>
        <w:rPr>
          <w:rFonts w:hint="eastAsia" w:ascii="Times New Roman" w:hAnsi="Times New Roman"/>
          <w:color w:val="auto"/>
          <w:highlight w:val="none"/>
        </w:rPr>
        <w:t>询比采购公告/询比采购邀请书</w:t>
      </w:r>
      <w:r>
        <w:rPr>
          <w:rFonts w:ascii="Times New Roman" w:hAnsi="Times New Roman"/>
          <w:color w:val="auto"/>
          <w:highlight w:val="none"/>
        </w:rPr>
        <w:t>”</w:t>
      </w:r>
      <w:r>
        <w:rPr>
          <w:rFonts w:hint="eastAsia" w:ascii="Times New Roman" w:hAnsi="Times New Roman"/>
          <w:color w:val="auto"/>
          <w:highlight w:val="none"/>
        </w:rPr>
        <w:t>中</w:t>
      </w:r>
      <w:r>
        <w:rPr>
          <w:rFonts w:ascii="Times New Roman" w:hAnsi="Times New Roman"/>
          <w:color w:val="auto"/>
          <w:highlight w:val="none"/>
        </w:rPr>
        <w:t>规定的</w:t>
      </w:r>
      <w:r>
        <w:rPr>
          <w:rFonts w:hint="eastAsia" w:ascii="Times New Roman" w:hAnsi="Times New Roman"/>
          <w:color w:val="auto"/>
          <w:highlight w:val="none"/>
        </w:rPr>
        <w:t>供应商不得存在的</w:t>
      </w:r>
      <w:r>
        <w:rPr>
          <w:rFonts w:ascii="Times New Roman" w:hAnsi="Times New Roman"/>
          <w:color w:val="auto"/>
          <w:highlight w:val="none"/>
        </w:rPr>
        <w:t>情形。</w:t>
      </w:r>
    </w:p>
    <w:p>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7．</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（其他补充说明）</w:t>
      </w:r>
      <w:r>
        <w:rPr>
          <w:rFonts w:ascii="Times New Roman" w:hAnsi="Times New Roman"/>
          <w:color w:val="auto"/>
          <w:szCs w:val="21"/>
          <w:highlight w:val="none"/>
        </w:rPr>
        <w:t>。</w:t>
      </w:r>
    </w:p>
    <w:p>
      <w:pPr>
        <w:spacing w:line="440" w:lineRule="exact"/>
        <w:ind w:firstLine="420" w:firstLineChars="200"/>
        <w:rPr>
          <w:rFonts w:ascii="Times New Roman" w:hAnsi="Times New Roman"/>
          <w:color w:val="auto"/>
          <w:szCs w:val="21"/>
          <w:highlight w:val="none"/>
        </w:rPr>
      </w:pPr>
    </w:p>
    <w:p>
      <w:pPr>
        <w:spacing w:line="440" w:lineRule="exact"/>
        <w:ind w:firstLine="2520" w:firstLineChars="1200"/>
        <w:jc w:val="left"/>
        <w:rPr>
          <w:rFonts w:ascii="Times New Roman" w:hAnsi="Times New Roman"/>
          <w:color w:val="auto"/>
          <w:szCs w:val="21"/>
          <w:highlight w:val="none"/>
        </w:rPr>
      </w:pPr>
      <w:bookmarkStart w:id="389" w:name="_Toc369531695"/>
      <w:bookmarkEnd w:id="389"/>
      <w:bookmarkStart w:id="390" w:name="_Toc16824"/>
      <w:bookmarkEnd w:id="390"/>
      <w:bookmarkStart w:id="391" w:name="_Toc352691660"/>
      <w:bookmarkEnd w:id="391"/>
      <w:bookmarkStart w:id="392" w:name="_Toc16568"/>
      <w:bookmarkEnd w:id="392"/>
      <w:bookmarkStart w:id="393" w:name="_Toc352691659"/>
      <w:bookmarkEnd w:id="393"/>
      <w:bookmarkStart w:id="394" w:name="_Toc369531696"/>
      <w:bookmarkEnd w:id="394"/>
      <w:r>
        <w:rPr>
          <w:rFonts w:hint="eastAsia" w:ascii="Times New Roman" w:hAnsi="Times New Roman"/>
          <w:color w:val="auto"/>
          <w:szCs w:val="21"/>
          <w:highlight w:val="none"/>
        </w:rPr>
        <w:t>供 应 商</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（盖单位章）</w:t>
      </w:r>
    </w:p>
    <w:p>
      <w:pPr>
        <w:spacing w:line="440" w:lineRule="exact"/>
        <w:jc w:val="left"/>
        <w:rPr>
          <w:rFonts w:ascii="Times New Roman" w:hAnsi="Times New Roman"/>
          <w:color w:val="auto"/>
          <w:szCs w:val="21"/>
          <w:highlight w:val="none"/>
        </w:rPr>
      </w:pPr>
      <w:r>
        <w:rPr>
          <w:rFonts w:ascii="Times New Roman" w:hAnsi="Times New Roman"/>
          <w:color w:val="auto"/>
          <w:highlight w:val="none"/>
        </w:rPr>
        <w:t xml:space="preserve">                        法定代表人（单位负责人）</w:t>
      </w:r>
      <w:r>
        <w:rPr>
          <w:rFonts w:ascii="Times New Roman" w:hAnsi="Times New Roman"/>
          <w:color w:val="auto"/>
          <w:szCs w:val="21"/>
          <w:highlight w:val="none"/>
        </w:rPr>
        <w:t>或其委托代理人：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（签字）</w:t>
      </w:r>
    </w:p>
    <w:p>
      <w:pPr>
        <w:spacing w:line="440" w:lineRule="exact"/>
        <w:ind w:firstLine="2520" w:firstLineChars="1200"/>
        <w:jc w:val="left"/>
        <w:rPr>
          <w:rFonts w:hint="eastAsia" w:ascii="Times New Roman" w:hAnsi="Times New Roman"/>
          <w:color w:val="auto"/>
          <w:szCs w:val="21"/>
          <w:highlight w:val="none"/>
          <w:u w:val="single"/>
        </w:rPr>
      </w:pPr>
      <w:r>
        <w:rPr>
          <w:rFonts w:ascii="Times New Roman" w:hAnsi="Times New Roman"/>
          <w:color w:val="auto"/>
          <w:szCs w:val="21"/>
          <w:highlight w:val="none"/>
        </w:rPr>
        <w:t>地    址：</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p>
    <w:p>
      <w:pPr>
        <w:spacing w:line="440" w:lineRule="exact"/>
        <w:ind w:firstLine="2520" w:firstLineChars="1200"/>
        <w:jc w:val="left"/>
        <w:rPr>
          <w:rFonts w:ascii="Times New Roman" w:hAnsi="Times New Roman"/>
          <w:color w:val="auto"/>
          <w:szCs w:val="21"/>
          <w:highlight w:val="none"/>
        </w:rPr>
      </w:pPr>
      <w:r>
        <w:rPr>
          <w:rFonts w:hint="eastAsia" w:ascii="Times New Roman" w:hAnsi="Times New Roman"/>
          <w:color w:val="auto"/>
          <w:szCs w:val="21"/>
          <w:highlight w:val="none"/>
        </w:rPr>
        <w:t>电子邮箱：</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p>
    <w:p>
      <w:pPr>
        <w:spacing w:line="440" w:lineRule="exact"/>
        <w:ind w:firstLine="2520" w:firstLineChars="1200"/>
        <w:jc w:val="left"/>
        <w:rPr>
          <w:rFonts w:ascii="Times New Roman" w:hAnsi="Times New Roman"/>
          <w:color w:val="auto"/>
          <w:szCs w:val="21"/>
          <w:highlight w:val="none"/>
        </w:rPr>
      </w:pPr>
      <w:r>
        <w:rPr>
          <w:rFonts w:ascii="Times New Roman" w:hAnsi="Times New Roman"/>
          <w:color w:val="auto"/>
          <w:szCs w:val="21"/>
          <w:highlight w:val="none"/>
        </w:rPr>
        <w:t>电    话：</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p>
    <w:p>
      <w:pPr>
        <w:spacing w:line="440" w:lineRule="exact"/>
        <w:ind w:firstLine="2520" w:firstLineChars="1200"/>
        <w:jc w:val="left"/>
        <w:rPr>
          <w:rFonts w:ascii="Times New Roman" w:hAnsi="Times New Roman"/>
          <w:color w:val="auto"/>
          <w:szCs w:val="21"/>
          <w:highlight w:val="none"/>
        </w:rPr>
      </w:pPr>
      <w:r>
        <w:rPr>
          <w:rFonts w:ascii="Times New Roman" w:hAnsi="Times New Roman"/>
          <w:color w:val="auto"/>
          <w:szCs w:val="21"/>
          <w:highlight w:val="none"/>
        </w:rPr>
        <w:t>传    真：</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p>
    <w:p>
      <w:pPr>
        <w:spacing w:line="440" w:lineRule="exact"/>
        <w:ind w:firstLine="2520" w:firstLineChars="1200"/>
        <w:jc w:val="left"/>
        <w:rPr>
          <w:rFonts w:ascii="Times New Roman" w:hAnsi="Times New Roman"/>
          <w:color w:val="auto"/>
          <w:szCs w:val="21"/>
          <w:highlight w:val="none"/>
        </w:rPr>
      </w:pPr>
      <w:r>
        <w:rPr>
          <w:rFonts w:ascii="Times New Roman" w:hAnsi="Times New Roman"/>
          <w:color w:val="auto"/>
          <w:szCs w:val="21"/>
          <w:highlight w:val="none"/>
        </w:rPr>
        <w:t>邮政编码：</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p>
    <w:p>
      <w:pPr>
        <w:spacing w:line="440" w:lineRule="exact"/>
        <w:ind w:firstLine="4725" w:firstLineChars="2250"/>
        <w:jc w:val="right"/>
        <w:rPr>
          <w:rFonts w:ascii="Times New Roman" w:hAnsi="Times New Roman"/>
          <w:color w:val="auto"/>
          <w:szCs w:val="21"/>
          <w:highlight w:val="none"/>
        </w:rPr>
      </w:pPr>
      <w:r>
        <w:rPr>
          <w:rFonts w:ascii="Times New Roman" w:hAnsi="Times New Roman"/>
          <w:color w:val="auto"/>
          <w:highlight w:val="none"/>
          <w:u w:val="single"/>
        </w:rPr>
        <w:t xml:space="preserve">      </w:t>
      </w:r>
      <w:r>
        <w:rPr>
          <w:rFonts w:ascii="Times New Roman" w:hAnsi="Times New Roman"/>
          <w:color w:val="auto"/>
          <w:szCs w:val="21"/>
          <w:highlight w:val="none"/>
        </w:rPr>
        <w:t>年</w:t>
      </w:r>
      <w:r>
        <w:rPr>
          <w:rFonts w:ascii="Times New Roman" w:hAnsi="Times New Roman"/>
          <w:color w:val="auto"/>
          <w:highlight w:val="none"/>
          <w:u w:val="single"/>
        </w:rPr>
        <w:t xml:space="preserve">      </w:t>
      </w:r>
      <w:r>
        <w:rPr>
          <w:rFonts w:ascii="Times New Roman" w:hAnsi="Times New Roman"/>
          <w:color w:val="auto"/>
          <w:szCs w:val="21"/>
          <w:highlight w:val="none"/>
        </w:rPr>
        <w:t>月</w:t>
      </w:r>
      <w:r>
        <w:rPr>
          <w:rFonts w:ascii="Times New Roman" w:hAnsi="Times New Roman"/>
          <w:color w:val="auto"/>
          <w:highlight w:val="none"/>
          <w:u w:val="single"/>
        </w:rPr>
        <w:t xml:space="preserve">      </w:t>
      </w:r>
      <w:r>
        <w:rPr>
          <w:rFonts w:ascii="Times New Roman" w:hAnsi="Times New Roman"/>
          <w:color w:val="auto"/>
          <w:szCs w:val="21"/>
          <w:highlight w:val="none"/>
        </w:rPr>
        <w:t>日</w:t>
      </w:r>
    </w:p>
    <w:p>
      <w:pPr>
        <w:adjustRightInd w:val="0"/>
        <w:snapToGrid w:val="0"/>
        <w:spacing w:before="48" w:beforeLines="20" w:after="48" w:afterLines="20" w:line="400" w:lineRule="exact"/>
        <w:ind w:firstLine="367" w:firstLineChars="175"/>
        <w:jc w:val="right"/>
        <w:rPr>
          <w:rFonts w:hint="eastAsia" w:ascii="宋体" w:hAnsi="宋体"/>
          <w:color w:val="auto"/>
          <w:szCs w:val="21"/>
          <w:highlight w:val="none"/>
        </w:rPr>
      </w:pPr>
    </w:p>
    <w:p>
      <w:pPr>
        <w:spacing w:before="240" w:beforeLines="100" w:line="510" w:lineRule="exact"/>
        <w:jc w:val="center"/>
        <w:rPr>
          <w:rFonts w:hint="eastAsia" w:ascii="黑体" w:hAnsi="宋体" w:eastAsia="黑体"/>
          <w:color w:val="auto"/>
          <w:sz w:val="28"/>
          <w:szCs w:val="28"/>
          <w:highlight w:val="none"/>
        </w:rPr>
      </w:pPr>
      <w:r>
        <w:rPr>
          <w:rFonts w:ascii="黑体" w:hAnsi="宋体" w:eastAsia="黑体"/>
          <w:color w:val="auto"/>
          <w:sz w:val="28"/>
          <w:szCs w:val="28"/>
          <w:highlight w:val="none"/>
        </w:rPr>
        <w:br w:type="page"/>
      </w:r>
    </w:p>
    <w:p>
      <w:pPr>
        <w:pStyle w:val="4"/>
        <w:jc w:val="center"/>
        <w:rPr>
          <w:rFonts w:hint="eastAsia"/>
          <w:color w:val="auto"/>
          <w:highlight w:val="none"/>
        </w:rPr>
      </w:pPr>
      <w:r>
        <w:rPr>
          <w:rFonts w:hint="eastAsia"/>
          <w:color w:val="auto"/>
          <w:highlight w:val="none"/>
        </w:rPr>
        <w:t>二、</w:t>
      </w:r>
      <w:bookmarkEnd w:id="378"/>
      <w:bookmarkEnd w:id="379"/>
      <w:bookmarkEnd w:id="380"/>
      <w:bookmarkEnd w:id="381"/>
      <w:r>
        <w:rPr>
          <w:rFonts w:hint="eastAsia"/>
          <w:color w:val="auto"/>
          <w:highlight w:val="none"/>
        </w:rPr>
        <w:t>法定代表人（单位负责人）身份证明或授权委托书</w:t>
      </w:r>
    </w:p>
    <w:p>
      <w:pPr>
        <w:spacing w:line="360" w:lineRule="auto"/>
        <w:ind w:firstLine="1164" w:firstLineChars="414"/>
        <w:rPr>
          <w:rFonts w:ascii="宋体" w:hAnsi="宋体"/>
          <w:b/>
          <w:bCs/>
          <w:color w:val="auto"/>
          <w:sz w:val="28"/>
          <w:szCs w:val="22"/>
          <w:highlight w:val="none"/>
        </w:rPr>
      </w:pPr>
    </w:p>
    <w:p>
      <w:pPr>
        <w:jc w:val="center"/>
        <w:rPr>
          <w:rFonts w:hint="eastAsia" w:ascii="黑体" w:hAnsi="黑体" w:eastAsia="黑体"/>
          <w:bCs/>
          <w:color w:val="auto"/>
          <w:sz w:val="24"/>
          <w:highlight w:val="none"/>
        </w:rPr>
      </w:pPr>
      <w:r>
        <w:rPr>
          <w:rFonts w:hint="eastAsia" w:ascii="黑体" w:hAnsi="黑体" w:eastAsia="黑体"/>
          <w:bCs/>
          <w:color w:val="auto"/>
          <w:sz w:val="24"/>
          <w:highlight w:val="none"/>
        </w:rPr>
        <w:t>法定代表人（单位负责人）身份证明</w:t>
      </w:r>
    </w:p>
    <w:p>
      <w:pPr>
        <w:ind w:left="765"/>
        <w:rPr>
          <w:rFonts w:ascii="宋体" w:hAnsi="宋体"/>
          <w:color w:val="auto"/>
          <w:szCs w:val="22"/>
          <w:highlight w:val="none"/>
        </w:rPr>
      </w:pPr>
    </w:p>
    <w:p>
      <w:pPr>
        <w:spacing w:line="500" w:lineRule="exact"/>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500" w:lineRule="exact"/>
        <w:rPr>
          <w:rFonts w:hint="eastAsia" w:ascii="宋体" w:hAnsi="宋体"/>
          <w:color w:val="auto"/>
          <w:szCs w:val="21"/>
          <w:highlight w:val="none"/>
        </w:rPr>
      </w:pPr>
      <w:r>
        <w:rPr>
          <w:rFonts w:hint="eastAsia" w:ascii="宋体" w:hAnsi="宋体"/>
          <w:color w:val="auto"/>
          <w:szCs w:val="21"/>
          <w:highlight w:val="none"/>
        </w:rPr>
        <w:t>经营期限：</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年    龄：</w:t>
      </w:r>
      <w:r>
        <w:rPr>
          <w:rFonts w:hint="eastAsia" w:ascii="宋体" w:hAnsi="宋体"/>
          <w:color w:val="auto"/>
          <w:szCs w:val="21"/>
          <w:highlight w:val="none"/>
          <w:u w:val="single"/>
        </w:rPr>
        <w:t xml:space="preserve">                          </w:t>
      </w:r>
      <w:r>
        <w:rPr>
          <w:rFonts w:hint="eastAsia" w:ascii="宋体" w:hAnsi="宋体"/>
          <w:color w:val="auto"/>
          <w:szCs w:val="21"/>
          <w:highlight w:val="none"/>
        </w:rPr>
        <w:t>职        务：</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名称）的法定代表人（单位负责人）。</w:t>
      </w:r>
    </w:p>
    <w:p>
      <w:pPr>
        <w:spacing w:line="500" w:lineRule="exact"/>
        <w:rPr>
          <w:rFonts w:hint="eastAsia" w:ascii="宋体" w:hAnsi="宋体"/>
          <w:color w:val="auto"/>
          <w:szCs w:val="21"/>
          <w:highlight w:val="none"/>
        </w:rPr>
      </w:pPr>
      <w:r>
        <w:rPr>
          <w:rFonts w:hint="eastAsia" w:ascii="宋体" w:hAnsi="宋体"/>
          <w:color w:val="auto"/>
          <w:szCs w:val="21"/>
          <w:highlight w:val="none"/>
        </w:rPr>
        <w:t>特此证明。</w:t>
      </w:r>
    </w:p>
    <w:p>
      <w:pPr>
        <w:spacing w:line="500" w:lineRule="exact"/>
        <w:rPr>
          <w:rFonts w:hint="eastAsia" w:ascii="宋体" w:hAnsi="宋体"/>
          <w:color w:val="auto"/>
          <w:szCs w:val="21"/>
          <w:highlight w:val="none"/>
        </w:rPr>
      </w:pPr>
    </w:p>
    <w:p>
      <w:pPr>
        <w:spacing w:line="500" w:lineRule="exact"/>
        <w:rPr>
          <w:rFonts w:hint="eastAsia" w:ascii="宋体" w:hAnsi="宋体"/>
          <w:color w:val="auto"/>
          <w:szCs w:val="21"/>
          <w:highlight w:val="none"/>
        </w:rPr>
      </w:pPr>
    </w:p>
    <w:p>
      <w:pPr>
        <w:wordWrap w:val="0"/>
        <w:spacing w:line="500" w:lineRule="exact"/>
        <w:jc w:val="right"/>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before="48" w:beforeLines="20" w:after="48" w:afterLines="20" w:line="540" w:lineRule="exact"/>
        <w:ind w:firstLine="3990" w:firstLineChars="1900"/>
        <w:rPr>
          <w:rFonts w:hint="eastAsia" w:ascii="宋体" w:hAnsi="宋体"/>
          <w:color w:val="auto"/>
          <w:sz w:val="24"/>
          <w:szCs w:val="22"/>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before="48" w:beforeLines="20" w:after="48" w:afterLines="20" w:line="540" w:lineRule="exact"/>
        <w:ind w:firstLine="3840" w:firstLineChars="1600"/>
        <w:rPr>
          <w:rFonts w:hint="eastAsia" w:ascii="宋体" w:hAnsi="宋体"/>
          <w:color w:val="auto"/>
          <w:sz w:val="24"/>
          <w:szCs w:val="22"/>
          <w:highlight w:val="none"/>
        </w:rPr>
      </w:pPr>
    </w:p>
    <w:p>
      <w:pPr>
        <w:spacing w:before="48" w:beforeLines="20" w:after="48" w:afterLines="20" w:line="540" w:lineRule="exact"/>
        <w:rPr>
          <w:rFonts w:hint="eastAsia" w:ascii="宋体" w:hAnsi="宋体"/>
          <w:b/>
          <w:bCs/>
          <w:color w:val="auto"/>
          <w:sz w:val="24"/>
          <w:szCs w:val="22"/>
          <w:highlight w:val="none"/>
        </w:rPr>
      </w:pPr>
    </w:p>
    <w:p>
      <w:pPr>
        <w:spacing w:before="48" w:beforeLines="20" w:after="48" w:afterLines="20" w:line="540" w:lineRule="exact"/>
        <w:rPr>
          <w:rFonts w:hint="eastAsia" w:ascii="宋体" w:hAnsi="宋体"/>
          <w:b/>
          <w:bCs/>
          <w:color w:val="auto"/>
          <w:sz w:val="24"/>
          <w:szCs w:val="22"/>
          <w:highlight w:val="none"/>
        </w:rPr>
      </w:pPr>
    </w:p>
    <w:p>
      <w:pPr>
        <w:spacing w:before="48" w:beforeLines="20" w:after="48" w:afterLines="20" w:line="540" w:lineRule="exact"/>
        <w:rPr>
          <w:rFonts w:hint="eastAsia" w:ascii="宋体" w:hAnsi="宋体"/>
          <w:b/>
          <w:bCs/>
          <w:color w:val="auto"/>
          <w:sz w:val="24"/>
          <w:szCs w:val="22"/>
          <w:highlight w:val="none"/>
        </w:rPr>
      </w:pPr>
    </w:p>
    <w:bookmarkEnd w:id="382"/>
    <w:p>
      <w:pPr>
        <w:jc w:val="center"/>
        <w:rPr>
          <w:rFonts w:hint="eastAsia"/>
          <w:color w:val="auto"/>
          <w:sz w:val="32"/>
          <w:szCs w:val="32"/>
          <w:highlight w:val="none"/>
        </w:rPr>
      </w:pPr>
      <w:bookmarkStart w:id="395" w:name="_Toc535241130"/>
      <w:bookmarkStart w:id="396" w:name="_Toc535241227"/>
      <w:bookmarkStart w:id="397" w:name="_Toc535241084"/>
      <w:bookmarkStart w:id="398" w:name="_Toc224103497"/>
      <w:bookmarkStart w:id="399" w:name="_Toc224103498"/>
      <w:r>
        <w:rPr>
          <w:color w:val="auto"/>
          <w:sz w:val="32"/>
          <w:szCs w:val="32"/>
          <w:highlight w:val="none"/>
        </w:rPr>
        <w:br w:type="page"/>
      </w:r>
      <w:r>
        <w:rPr>
          <w:rFonts w:hint="eastAsia" w:ascii="黑体" w:hAnsi="黑体" w:eastAsia="黑体"/>
          <w:bCs/>
          <w:color w:val="auto"/>
          <w:sz w:val="24"/>
          <w:highlight w:val="none"/>
        </w:rPr>
        <w:t>授权委托书</w:t>
      </w:r>
      <w:bookmarkEnd w:id="395"/>
      <w:bookmarkEnd w:id="396"/>
      <w:bookmarkEnd w:id="397"/>
    </w:p>
    <w:p>
      <w:pPr>
        <w:rPr>
          <w:rFonts w:hint="eastAsia"/>
          <w:color w:val="auto"/>
          <w:highlight w:val="none"/>
        </w:rPr>
      </w:pP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hint="eastAsia" w:ascii="宋体" w:hAnsi="宋体"/>
          <w:color w:val="auto"/>
          <w:szCs w:val="21"/>
          <w:highlight w:val="none"/>
        </w:rPr>
        <w:t>名称）的法定代表人（单位负责人），现委托</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（姓名）为我方代理人。代理人根据授权，以我方名义签署、澄清、说明、补正、递交、撤回、修改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（采购项目名称）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标包医用</w:t>
      </w:r>
      <w:r>
        <w:rPr>
          <w:rFonts w:hint="eastAsia" w:ascii="宋体" w:hAnsi="宋体"/>
          <w:color w:val="auto"/>
          <w:szCs w:val="21"/>
          <w:highlight w:val="none"/>
          <w:lang w:val="en-US" w:eastAsia="zh-CN"/>
        </w:rPr>
        <w:t>设备</w:t>
      </w:r>
      <w:r>
        <w:rPr>
          <w:rFonts w:hint="eastAsia" w:ascii="宋体" w:hAnsi="宋体"/>
          <w:color w:val="auto"/>
          <w:szCs w:val="21"/>
          <w:highlight w:val="none"/>
        </w:rPr>
        <w:t>采购采购项目响应文件、签订合同和处理有关事宜，其法律后果由我方承担。</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代理人无转委托权。</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附：法定代表人（单位负责人）身份证明</w:t>
      </w:r>
    </w:p>
    <w:p>
      <w:pPr>
        <w:spacing w:line="500" w:lineRule="exact"/>
        <w:rPr>
          <w:rFonts w:hint="eastAsia" w:ascii="宋体" w:hAnsi="宋体"/>
          <w:color w:val="auto"/>
          <w:szCs w:val="21"/>
          <w:highlight w:val="none"/>
        </w:rPr>
      </w:pP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lang w:eastAsia="zh-CN"/>
        </w:rPr>
        <w:t>供应商</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法定代表人（单位负责人）：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400" w:lineRule="exact"/>
        <w:ind w:firstLine="3570" w:firstLineChars="1700"/>
        <w:rPr>
          <w:rFonts w:hint="eastAsia"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p>
    <w:p>
      <w:pPr>
        <w:spacing w:line="400" w:lineRule="exact"/>
        <w:ind w:firstLine="3570" w:firstLineChars="1700"/>
        <w:rPr>
          <w:rFonts w:hint="eastAsia"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pPr>
        <w:spacing w:line="400" w:lineRule="exact"/>
        <w:ind w:firstLine="4830" w:firstLineChars="2300"/>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snapToGrid w:val="0"/>
        <w:spacing w:line="360" w:lineRule="auto"/>
        <w:jc w:val="left"/>
        <w:rPr>
          <w:rFonts w:hint="eastAsia" w:ascii="宋体" w:hAnsi="宋体"/>
          <w:color w:val="auto"/>
          <w:kern w:val="0"/>
          <w:szCs w:val="22"/>
          <w:highlight w:val="none"/>
        </w:rPr>
      </w:pPr>
    </w:p>
    <w:p>
      <w:pPr>
        <w:tabs>
          <w:tab w:val="left" w:pos="5760"/>
        </w:tabs>
        <w:autoSpaceDE w:val="0"/>
        <w:autoSpaceDN w:val="0"/>
        <w:adjustRightInd w:val="0"/>
        <w:spacing w:line="300" w:lineRule="exact"/>
        <w:ind w:right="11"/>
        <w:rPr>
          <w:rFonts w:ascii="宋体" w:hAnsi="宋体"/>
          <w:color w:val="auto"/>
          <w:kern w:val="0"/>
          <w:szCs w:val="22"/>
          <w:highlight w:val="none"/>
        </w:rPr>
      </w:pPr>
      <w:r>
        <w:rPr>
          <w:rFonts w:hint="eastAsia" w:ascii="宋体" w:hAnsi="宋体"/>
          <w:color w:val="auto"/>
          <w:kern w:val="0"/>
          <w:szCs w:val="22"/>
          <w:highlight w:val="none"/>
        </w:rPr>
        <w:t>注：法定代表人（单位负责人）参加</w:t>
      </w:r>
      <w:r>
        <w:rPr>
          <w:rFonts w:hint="eastAsia" w:ascii="宋体" w:hAnsi="宋体"/>
          <w:color w:val="auto"/>
          <w:kern w:val="0"/>
          <w:szCs w:val="22"/>
          <w:highlight w:val="none"/>
          <w:lang w:eastAsia="zh-CN"/>
        </w:rPr>
        <w:t>询比</w:t>
      </w:r>
      <w:r>
        <w:rPr>
          <w:rFonts w:hint="eastAsia" w:ascii="宋体" w:hAnsi="宋体"/>
          <w:color w:val="auto"/>
          <w:kern w:val="0"/>
          <w:szCs w:val="22"/>
          <w:highlight w:val="none"/>
        </w:rPr>
        <w:t>采购活动并签署文件的不需要授权委托书，只需提供法定代表人（单位负责人）身份证明；非法定代表人（单位负责人）参加</w:t>
      </w:r>
      <w:r>
        <w:rPr>
          <w:rFonts w:hint="eastAsia" w:ascii="宋体" w:hAnsi="宋体"/>
          <w:color w:val="auto"/>
          <w:kern w:val="0"/>
          <w:szCs w:val="22"/>
          <w:highlight w:val="none"/>
          <w:lang w:eastAsia="zh-CN"/>
        </w:rPr>
        <w:t>询比</w:t>
      </w:r>
      <w:r>
        <w:rPr>
          <w:rFonts w:hint="eastAsia" w:ascii="宋体" w:hAnsi="宋体"/>
          <w:color w:val="auto"/>
          <w:kern w:val="0"/>
          <w:szCs w:val="22"/>
          <w:highlight w:val="none"/>
        </w:rPr>
        <w:t>采购活动及签署文件的除提供法定代表人（单位负责人）身份证明外还须提供授权委托书。</w:t>
      </w:r>
      <w:bookmarkEnd w:id="398"/>
      <w:bookmarkEnd w:id="399"/>
      <w:bookmarkStart w:id="400" w:name="_Toc460660224"/>
      <w:bookmarkStart w:id="401" w:name="_Toc421917002"/>
      <w:bookmarkStart w:id="402" w:name="_Toc224103499"/>
      <w:bookmarkStart w:id="403" w:name="_Toc460227109"/>
      <w:bookmarkStart w:id="404" w:name="_Toc390411622"/>
    </w:p>
    <w:p>
      <w:pPr>
        <w:pStyle w:val="4"/>
        <w:jc w:val="center"/>
        <w:rPr>
          <w:rFonts w:ascii="Times New Roman" w:hAnsi="Times New Roman"/>
          <w:highlight w:val="none"/>
        </w:rPr>
      </w:pPr>
      <w:r>
        <w:rPr>
          <w:rFonts w:ascii="宋体"/>
          <w:color w:val="auto"/>
          <w:kern w:val="0"/>
          <w:szCs w:val="22"/>
          <w:highlight w:val="none"/>
        </w:rPr>
        <w:br w:type="page"/>
      </w:r>
      <w:bookmarkEnd w:id="400"/>
      <w:bookmarkEnd w:id="401"/>
      <w:bookmarkEnd w:id="402"/>
      <w:bookmarkEnd w:id="403"/>
      <w:bookmarkEnd w:id="404"/>
      <w:bookmarkStart w:id="405" w:name="_Toc501460790"/>
      <w:bookmarkStart w:id="406" w:name="_Toc9115"/>
      <w:bookmarkStart w:id="407" w:name="_Toc460660225"/>
      <w:bookmarkStart w:id="408" w:name="_Toc535241086"/>
      <w:bookmarkStart w:id="409" w:name="_Toc535241229"/>
      <w:bookmarkStart w:id="410" w:name="_Toc460227110"/>
      <w:bookmarkStart w:id="411" w:name="_Toc535241132"/>
      <w:r>
        <w:rPr>
          <w:rFonts w:hint="eastAsia" w:cs="Times New Roman"/>
          <w:color w:val="auto"/>
          <w:highlight w:val="none"/>
          <w:lang w:val="en-US" w:eastAsia="zh-CN"/>
        </w:rPr>
        <w:t>三</w:t>
      </w:r>
      <w:r>
        <w:rPr>
          <w:rFonts w:hint="eastAsia" w:cs="Times New Roman"/>
          <w:color w:val="auto"/>
          <w:highlight w:val="none"/>
        </w:rPr>
        <w:t>、</w:t>
      </w:r>
      <w:bookmarkEnd w:id="405"/>
      <w:bookmarkStart w:id="412" w:name="_Toc247514284"/>
      <w:bookmarkStart w:id="413" w:name="_Toc152042581"/>
      <w:bookmarkStart w:id="414" w:name="_Toc300835214"/>
      <w:bookmarkStart w:id="415" w:name="_Toc369531702"/>
      <w:bookmarkStart w:id="416" w:name="_Toc152045792"/>
      <w:bookmarkStart w:id="417" w:name="_Toc352691666"/>
      <w:bookmarkStart w:id="418" w:name="_Toc144974861"/>
      <w:bookmarkStart w:id="419" w:name="_Toc13469"/>
      <w:bookmarkStart w:id="420" w:name="_Toc384308381"/>
      <w:bookmarkStart w:id="421" w:name="_Toc247527832"/>
      <w:bookmarkStart w:id="422" w:name="_Toc361508757"/>
      <w:r>
        <w:rPr>
          <w:rFonts w:hint="eastAsia" w:cs="Times New Roman"/>
          <w:color w:val="auto"/>
          <w:highlight w:val="none"/>
        </w:rPr>
        <w:t>响应保证金</w:t>
      </w:r>
      <w:bookmarkEnd w:id="406"/>
    </w:p>
    <w:p>
      <w:pPr>
        <w:jc w:val="center"/>
        <w:rPr>
          <w:rFonts w:ascii="楷体" w:hAnsi="楷体" w:eastAsia="楷体"/>
          <w:highlight w:val="none"/>
        </w:rPr>
      </w:pPr>
      <w:r>
        <w:rPr>
          <w:rFonts w:hint="eastAsia" w:ascii="楷体" w:hAnsi="楷体" w:eastAsia="楷体"/>
          <w:highlight w:val="none"/>
        </w:rPr>
        <w:t>（适用于递交响应保证金的情况）</w:t>
      </w:r>
    </w:p>
    <w:p>
      <w:pPr>
        <w:rPr>
          <w:highlight w:val="none"/>
        </w:rPr>
      </w:pPr>
    </w:p>
    <w:p>
      <w:pPr>
        <w:spacing w:line="440" w:lineRule="exact"/>
        <w:ind w:firstLine="420" w:firstLineChars="200"/>
        <w:rPr>
          <w:rFonts w:ascii="Times New Roman" w:hAnsi="Times New Roman"/>
          <w:szCs w:val="21"/>
          <w:highlight w:val="none"/>
        </w:rPr>
      </w:pPr>
      <w:r>
        <w:rPr>
          <w:rFonts w:hint="eastAsia" w:ascii="Times New Roman" w:hAnsi="Times New Roman"/>
          <w:szCs w:val="21"/>
          <w:highlight w:val="none"/>
        </w:rPr>
        <w:t>1、</w:t>
      </w:r>
      <w:r>
        <w:rPr>
          <w:rFonts w:ascii="Times New Roman" w:hAnsi="Times New Roman"/>
          <w:szCs w:val="21"/>
          <w:highlight w:val="none"/>
        </w:rPr>
        <w:t>采用</w:t>
      </w:r>
      <w:r>
        <w:rPr>
          <w:rFonts w:hint="eastAsia" w:ascii="Times New Roman" w:hAnsi="Times New Roman"/>
          <w:szCs w:val="21"/>
          <w:highlight w:val="none"/>
        </w:rPr>
        <w:t>转账方式的</w:t>
      </w:r>
      <w:r>
        <w:rPr>
          <w:rFonts w:ascii="Times New Roman" w:hAnsi="Times New Roman"/>
          <w:szCs w:val="21"/>
          <w:highlight w:val="none"/>
        </w:rPr>
        <w:t>，</w:t>
      </w:r>
      <w:r>
        <w:rPr>
          <w:rFonts w:hint="eastAsia" w:ascii="Times New Roman" w:hAnsi="Times New Roman"/>
          <w:szCs w:val="21"/>
          <w:highlight w:val="none"/>
        </w:rPr>
        <w:t>供应商</w:t>
      </w:r>
      <w:r>
        <w:rPr>
          <w:rFonts w:ascii="Times New Roman" w:hAnsi="Times New Roman"/>
          <w:szCs w:val="21"/>
          <w:highlight w:val="none"/>
        </w:rPr>
        <w:t>应在此提供</w:t>
      </w:r>
      <w:r>
        <w:rPr>
          <w:rFonts w:hint="eastAsia" w:ascii="Times New Roman" w:hAnsi="Times New Roman"/>
          <w:szCs w:val="21"/>
          <w:highlight w:val="none"/>
        </w:rPr>
        <w:t>转账</w:t>
      </w:r>
      <w:r>
        <w:rPr>
          <w:rFonts w:ascii="Times New Roman" w:hAnsi="Times New Roman"/>
          <w:szCs w:val="21"/>
          <w:highlight w:val="none"/>
        </w:rPr>
        <w:t>凭证复印件</w:t>
      </w:r>
      <w:r>
        <w:rPr>
          <w:rFonts w:hint="eastAsia" w:ascii="Times New Roman" w:hAnsi="Times New Roman"/>
          <w:szCs w:val="21"/>
          <w:highlight w:val="none"/>
        </w:rPr>
        <w:t>；</w:t>
      </w:r>
    </w:p>
    <w:p>
      <w:pPr>
        <w:spacing w:line="440" w:lineRule="exact"/>
        <w:ind w:firstLine="420" w:firstLineChars="200"/>
        <w:rPr>
          <w:rFonts w:ascii="Times New Roman" w:hAnsi="Times New Roman"/>
          <w:szCs w:val="21"/>
          <w:highlight w:val="none"/>
        </w:rPr>
      </w:pPr>
      <w:r>
        <w:rPr>
          <w:rFonts w:hint="eastAsia" w:ascii="Times New Roman" w:hAnsi="Times New Roman"/>
          <w:szCs w:val="21"/>
          <w:highlight w:val="none"/>
        </w:rPr>
        <w:t>2、采用</w:t>
      </w:r>
      <w:r>
        <w:rPr>
          <w:rFonts w:ascii="Times New Roman" w:hAnsi="Times New Roman"/>
          <w:szCs w:val="21"/>
          <w:highlight w:val="none"/>
        </w:rPr>
        <w:t>支票</w:t>
      </w:r>
      <w:r>
        <w:rPr>
          <w:rFonts w:hint="eastAsia" w:ascii="Times New Roman" w:hAnsi="Times New Roman"/>
          <w:szCs w:val="21"/>
          <w:highlight w:val="none"/>
        </w:rPr>
        <w:t>、汇票等方式的，供应商</w:t>
      </w:r>
      <w:r>
        <w:rPr>
          <w:rFonts w:ascii="Times New Roman" w:hAnsi="Times New Roman"/>
          <w:szCs w:val="21"/>
          <w:highlight w:val="none"/>
        </w:rPr>
        <w:t>应在此提供支票</w:t>
      </w:r>
      <w:r>
        <w:rPr>
          <w:rFonts w:hint="eastAsia" w:ascii="Times New Roman" w:hAnsi="Times New Roman"/>
          <w:szCs w:val="21"/>
          <w:highlight w:val="none"/>
        </w:rPr>
        <w:t>、汇票等的复印件，原件应单独递交</w:t>
      </w:r>
      <w:r>
        <w:rPr>
          <w:rFonts w:ascii="Times New Roman" w:hAnsi="Times New Roman"/>
          <w:szCs w:val="21"/>
          <w:highlight w:val="none"/>
        </w:rPr>
        <w:t>。</w:t>
      </w:r>
    </w:p>
    <w:p>
      <w:pPr>
        <w:spacing w:line="440" w:lineRule="exact"/>
        <w:ind w:firstLine="420" w:firstLineChars="200"/>
        <w:rPr>
          <w:rFonts w:ascii="Times New Roman" w:hAnsi="Times New Roman"/>
          <w:szCs w:val="21"/>
          <w:highlight w:val="none"/>
        </w:rPr>
      </w:pPr>
      <w:r>
        <w:rPr>
          <w:rFonts w:hint="eastAsia" w:ascii="Times New Roman" w:hAnsi="Times New Roman"/>
          <w:szCs w:val="21"/>
          <w:highlight w:val="none"/>
        </w:rPr>
        <w:t>3、</w:t>
      </w:r>
      <w:r>
        <w:rPr>
          <w:rFonts w:ascii="Times New Roman" w:hAnsi="Times New Roman"/>
          <w:szCs w:val="21"/>
          <w:highlight w:val="none"/>
        </w:rPr>
        <w:t>采用</w:t>
      </w:r>
      <w:r>
        <w:rPr>
          <w:rFonts w:hint="eastAsia" w:ascii="Times New Roman" w:hAnsi="Times New Roman"/>
          <w:szCs w:val="21"/>
          <w:highlight w:val="none"/>
        </w:rPr>
        <w:t>银行或担保机构担</w:t>
      </w:r>
      <w:r>
        <w:rPr>
          <w:rFonts w:ascii="Times New Roman" w:hAnsi="Times New Roman"/>
          <w:szCs w:val="21"/>
          <w:highlight w:val="none"/>
        </w:rPr>
        <w:t>保函</w:t>
      </w:r>
      <w:r>
        <w:rPr>
          <w:rFonts w:hint="eastAsia" w:ascii="Times New Roman" w:hAnsi="Times New Roman"/>
          <w:szCs w:val="21"/>
          <w:highlight w:val="none"/>
        </w:rPr>
        <w:t>方式的</w:t>
      </w:r>
      <w:r>
        <w:rPr>
          <w:rFonts w:ascii="Times New Roman" w:hAnsi="Times New Roman"/>
          <w:szCs w:val="21"/>
          <w:highlight w:val="none"/>
        </w:rPr>
        <w:t>，格式如下</w:t>
      </w:r>
      <w:r>
        <w:rPr>
          <w:rFonts w:hint="eastAsia" w:ascii="Times New Roman" w:hAnsi="Times New Roman"/>
          <w:szCs w:val="21"/>
          <w:highlight w:val="none"/>
        </w:rPr>
        <w:t>：</w:t>
      </w:r>
    </w:p>
    <w:p>
      <w:pPr>
        <w:spacing w:line="440" w:lineRule="exact"/>
        <w:rPr>
          <w:rFonts w:ascii="Times New Roman" w:hAnsi="Times New Roman"/>
          <w:sz w:val="24"/>
          <w:highlight w:val="none"/>
        </w:rPr>
      </w:pPr>
    </w:p>
    <w:bookmarkEnd w:id="412"/>
    <w:bookmarkEnd w:id="413"/>
    <w:bookmarkEnd w:id="414"/>
    <w:bookmarkEnd w:id="415"/>
    <w:bookmarkEnd w:id="416"/>
    <w:bookmarkEnd w:id="417"/>
    <w:bookmarkEnd w:id="418"/>
    <w:bookmarkEnd w:id="419"/>
    <w:bookmarkEnd w:id="420"/>
    <w:bookmarkEnd w:id="421"/>
    <w:bookmarkEnd w:id="422"/>
    <w:p>
      <w:pPr>
        <w:spacing w:line="440" w:lineRule="exact"/>
        <w:rPr>
          <w:rFonts w:ascii="Times New Roman" w:hAnsi="Times New Roman"/>
          <w:highlight w:val="none"/>
        </w:rPr>
      </w:pPr>
      <w:r>
        <w:rPr>
          <w:rFonts w:ascii="Times New Roman" w:hAnsi="Times New Roman"/>
          <w:szCs w:val="21"/>
          <w:highlight w:val="none"/>
          <w:u w:val="single"/>
        </w:rPr>
        <w:tab/>
      </w:r>
      <w:r>
        <w:rPr>
          <w:rFonts w:ascii="Times New Roman" w:hAnsi="Times New Roman"/>
          <w:szCs w:val="21"/>
          <w:highlight w:val="none"/>
          <w:u w:val="single"/>
        </w:rPr>
        <w:t xml:space="preserve">          </w:t>
      </w:r>
      <w:r>
        <w:rPr>
          <w:rFonts w:ascii="Times New Roman" w:hAnsi="Times New Roman"/>
          <w:szCs w:val="21"/>
          <w:highlight w:val="none"/>
          <w:u w:val="single"/>
        </w:rPr>
        <w:tab/>
      </w:r>
      <w:r>
        <w:rPr>
          <w:rFonts w:ascii="Times New Roman" w:hAnsi="Times New Roman"/>
          <w:highlight w:val="none"/>
          <w:u w:val="single"/>
        </w:rPr>
        <w:t>（</w:t>
      </w:r>
      <w:r>
        <w:rPr>
          <w:rFonts w:hint="eastAsia" w:ascii="Times New Roman" w:hAnsi="Times New Roman"/>
          <w:highlight w:val="none"/>
          <w:u w:val="single"/>
        </w:rPr>
        <w:t>采购人</w:t>
      </w:r>
      <w:r>
        <w:rPr>
          <w:rFonts w:ascii="Times New Roman" w:hAnsi="Times New Roman"/>
          <w:highlight w:val="none"/>
          <w:u w:val="single"/>
        </w:rPr>
        <w:t>名称）</w:t>
      </w:r>
      <w:r>
        <w:rPr>
          <w:rFonts w:ascii="Times New Roman" w:hAnsi="Times New Roman"/>
          <w:szCs w:val="21"/>
          <w:highlight w:val="none"/>
        </w:rPr>
        <w:t>：</w:t>
      </w:r>
    </w:p>
    <w:p>
      <w:pPr>
        <w:spacing w:line="440" w:lineRule="exact"/>
        <w:rPr>
          <w:rFonts w:ascii="Times New Roman" w:hAnsi="Times New Roman"/>
          <w:szCs w:val="21"/>
          <w:highlight w:val="none"/>
        </w:rPr>
      </w:pPr>
    </w:p>
    <w:p>
      <w:pPr>
        <w:spacing w:line="400" w:lineRule="exact"/>
        <w:ind w:firstLine="315" w:firstLineChars="150"/>
        <w:rPr>
          <w:rFonts w:ascii="Times New Roman" w:hAnsi="Times New Roman"/>
          <w:szCs w:val="21"/>
          <w:highlight w:val="none"/>
        </w:rPr>
      </w:pPr>
      <w:r>
        <w:rPr>
          <w:rFonts w:ascii="Times New Roman" w:hAnsi="Times New Roman"/>
          <w:highlight w:val="none"/>
        </w:rPr>
        <w:t>鉴于</w:t>
      </w:r>
      <w:r>
        <w:rPr>
          <w:rFonts w:ascii="Times New Roman" w:hAnsi="Times New Roman"/>
          <w:highlight w:val="none"/>
          <w:u w:val="single"/>
        </w:rPr>
        <w:t xml:space="preserve">               </w:t>
      </w:r>
      <w:r>
        <w:rPr>
          <w:rFonts w:ascii="Times New Roman" w:hAnsi="Times New Roman"/>
          <w:szCs w:val="21"/>
          <w:highlight w:val="none"/>
          <w:u w:val="single"/>
        </w:rPr>
        <w:t>（</w:t>
      </w:r>
      <w:r>
        <w:rPr>
          <w:rFonts w:hint="eastAsia" w:ascii="Times New Roman" w:hAnsi="Times New Roman"/>
          <w:szCs w:val="21"/>
          <w:highlight w:val="none"/>
          <w:u w:val="single"/>
        </w:rPr>
        <w:t>供应商</w:t>
      </w:r>
      <w:r>
        <w:rPr>
          <w:rFonts w:ascii="Times New Roman" w:hAnsi="Times New Roman"/>
          <w:szCs w:val="21"/>
          <w:highlight w:val="none"/>
          <w:u w:val="single"/>
        </w:rPr>
        <w:t>名称）</w:t>
      </w:r>
      <w:r>
        <w:rPr>
          <w:rFonts w:ascii="Times New Roman" w:hAnsi="Times New Roman"/>
          <w:szCs w:val="21"/>
          <w:highlight w:val="none"/>
        </w:rPr>
        <w:t>（以下</w:t>
      </w:r>
      <w:r>
        <w:rPr>
          <w:rFonts w:ascii="Times New Roman" w:hAnsi="Times New Roman"/>
          <w:highlight w:val="none"/>
        </w:rPr>
        <w:t>称“</w:t>
      </w:r>
      <w:r>
        <w:rPr>
          <w:rFonts w:hint="eastAsia" w:ascii="Times New Roman" w:hAnsi="Times New Roman"/>
          <w:highlight w:val="none"/>
        </w:rPr>
        <w:t>供应商</w:t>
      </w:r>
      <w:r>
        <w:rPr>
          <w:rFonts w:ascii="Times New Roman" w:hAnsi="Times New Roman"/>
          <w:highlight w:val="none"/>
        </w:rPr>
        <w:t>”）于</w:t>
      </w:r>
      <w:r>
        <w:rPr>
          <w:rFonts w:ascii="Times New Roman" w:hAnsi="Times New Roman"/>
          <w:highlight w:val="none"/>
          <w:u w:val="single"/>
        </w:rPr>
        <w:t xml:space="preserve">       </w:t>
      </w:r>
      <w:r>
        <w:rPr>
          <w:rFonts w:ascii="Times New Roman" w:hAnsi="Times New Roman"/>
          <w:szCs w:val="21"/>
          <w:highlight w:val="none"/>
        </w:rPr>
        <w:t>年</w:t>
      </w:r>
      <w:r>
        <w:rPr>
          <w:rFonts w:ascii="Times New Roman" w:hAnsi="Times New Roman"/>
          <w:highlight w:val="none"/>
          <w:u w:val="single"/>
        </w:rPr>
        <w:t xml:space="preserve">       </w:t>
      </w:r>
      <w:r>
        <w:rPr>
          <w:rFonts w:ascii="Times New Roman" w:hAnsi="Times New Roman"/>
          <w:szCs w:val="21"/>
          <w:highlight w:val="none"/>
        </w:rPr>
        <w:t>月</w:t>
      </w:r>
      <w:r>
        <w:rPr>
          <w:rFonts w:ascii="Times New Roman" w:hAnsi="Times New Roman"/>
          <w:highlight w:val="none"/>
          <w:u w:val="single"/>
        </w:rPr>
        <w:t xml:space="preserve">        </w:t>
      </w:r>
      <w:r>
        <w:rPr>
          <w:rFonts w:ascii="Times New Roman" w:hAnsi="Times New Roman"/>
          <w:szCs w:val="21"/>
          <w:highlight w:val="none"/>
        </w:rPr>
        <w:t>日参加</w:t>
      </w:r>
      <w:r>
        <w:rPr>
          <w:rFonts w:ascii="Times New Roman" w:hAnsi="Times New Roman"/>
          <w:highlight w:val="none"/>
          <w:u w:val="single"/>
        </w:rPr>
        <w:t xml:space="preserve">                 </w:t>
      </w:r>
      <w:r>
        <w:rPr>
          <w:rFonts w:ascii="Times New Roman" w:hAnsi="Times New Roman"/>
          <w:color w:val="000000"/>
          <w:highlight w:val="none"/>
          <w:u w:val="single"/>
        </w:rPr>
        <w:t>（项目名称）</w:t>
      </w:r>
      <w:r>
        <w:rPr>
          <w:rFonts w:hint="eastAsia" w:ascii="Times New Roman" w:hAnsi="Times New Roman"/>
          <w:color w:val="000000"/>
          <w:highlight w:val="none"/>
        </w:rPr>
        <w:t>询比采购</w:t>
      </w:r>
      <w:r>
        <w:rPr>
          <w:rFonts w:ascii="Times New Roman" w:hAnsi="Times New Roman"/>
          <w:color w:val="000000"/>
          <w:highlight w:val="none"/>
        </w:rPr>
        <w:t>活动</w:t>
      </w:r>
      <w:r>
        <w:rPr>
          <w:rFonts w:ascii="Times New Roman" w:hAnsi="Times New Roman"/>
          <w:szCs w:val="21"/>
          <w:highlight w:val="none"/>
        </w:rPr>
        <w:t>，</w:t>
      </w:r>
      <w:r>
        <w:rPr>
          <w:rFonts w:ascii="Times New Roman" w:hAnsi="Times New Roman"/>
          <w:highlight w:val="none"/>
          <w:u w:val="single"/>
        </w:rPr>
        <w:t xml:space="preserve">          </w:t>
      </w:r>
      <w:r>
        <w:rPr>
          <w:rFonts w:ascii="Times New Roman" w:hAnsi="Times New Roman"/>
          <w:szCs w:val="21"/>
          <w:highlight w:val="none"/>
          <w:u w:val="single"/>
        </w:rPr>
        <w:t>（担保人名称</w:t>
      </w:r>
      <w:r>
        <w:rPr>
          <w:rFonts w:hint="eastAsia" w:ascii="Times New Roman" w:hAnsi="Times New Roman"/>
          <w:szCs w:val="21"/>
          <w:highlight w:val="none"/>
          <w:u w:val="single"/>
        </w:rPr>
        <w:t>）</w:t>
      </w:r>
      <w:r>
        <w:rPr>
          <w:rFonts w:hint="eastAsia" w:ascii="Times New Roman" w:hAnsi="Times New Roman"/>
          <w:szCs w:val="21"/>
          <w:highlight w:val="none"/>
        </w:rPr>
        <w:t>（</w:t>
      </w:r>
      <w:r>
        <w:rPr>
          <w:rFonts w:ascii="Times New Roman" w:hAnsi="Times New Roman"/>
          <w:szCs w:val="21"/>
          <w:highlight w:val="none"/>
        </w:rPr>
        <w:t>以下称“我方”）无条件地、不可撤销地保证：若</w:t>
      </w:r>
      <w:r>
        <w:rPr>
          <w:rFonts w:hint="eastAsia" w:ascii="Times New Roman" w:hAnsi="Times New Roman"/>
          <w:highlight w:val="none"/>
        </w:rPr>
        <w:t>供应商</w:t>
      </w:r>
      <w:r>
        <w:rPr>
          <w:rFonts w:ascii="Times New Roman" w:hAnsi="Times New Roman"/>
          <w:highlight w:val="none"/>
        </w:rPr>
        <w:t>在</w:t>
      </w:r>
      <w:r>
        <w:rPr>
          <w:rFonts w:hint="eastAsia" w:ascii="Times New Roman" w:hAnsi="Times New Roman"/>
          <w:color w:val="000000"/>
          <w:highlight w:val="none"/>
        </w:rPr>
        <w:t>响应文件有效期</w:t>
      </w:r>
      <w:r>
        <w:rPr>
          <w:rFonts w:ascii="Times New Roman" w:hAnsi="Times New Roman"/>
          <w:color w:val="000000"/>
          <w:highlight w:val="none"/>
        </w:rPr>
        <w:t>内</w:t>
      </w:r>
      <w:r>
        <w:rPr>
          <w:rFonts w:ascii="Times New Roman" w:hAnsi="Times New Roman"/>
          <w:szCs w:val="21"/>
          <w:highlight w:val="none"/>
        </w:rPr>
        <w:t>撤销</w:t>
      </w:r>
      <w:r>
        <w:rPr>
          <w:rFonts w:hint="eastAsia" w:ascii="Times New Roman" w:hAnsi="Times New Roman"/>
          <w:szCs w:val="21"/>
          <w:highlight w:val="none"/>
        </w:rPr>
        <w:t>响应文件</w:t>
      </w:r>
      <w:r>
        <w:rPr>
          <w:rFonts w:ascii="Times New Roman" w:hAnsi="Times New Roman"/>
          <w:szCs w:val="21"/>
          <w:highlight w:val="none"/>
        </w:rPr>
        <w:t>，或</w:t>
      </w:r>
      <w:r>
        <w:rPr>
          <w:rFonts w:hint="eastAsia" w:ascii="Times New Roman" w:hAnsi="Times New Roman"/>
          <w:szCs w:val="21"/>
          <w:highlight w:val="none"/>
        </w:rPr>
        <w:t>成交</w:t>
      </w:r>
      <w:r>
        <w:rPr>
          <w:rFonts w:ascii="Times New Roman" w:hAnsi="Times New Roman"/>
          <w:szCs w:val="21"/>
          <w:highlight w:val="none"/>
        </w:rPr>
        <w:t>后无正当理由不与</w:t>
      </w:r>
      <w:r>
        <w:rPr>
          <w:rFonts w:hint="eastAsia" w:ascii="Times New Roman" w:hAnsi="Times New Roman"/>
          <w:szCs w:val="21"/>
          <w:highlight w:val="none"/>
        </w:rPr>
        <w:t>采购人</w:t>
      </w:r>
      <w:r>
        <w:rPr>
          <w:rFonts w:ascii="Times New Roman" w:hAnsi="Times New Roman"/>
          <w:szCs w:val="21"/>
          <w:highlight w:val="none"/>
        </w:rPr>
        <w:t>订立合同，或在签订合同时向</w:t>
      </w:r>
      <w:r>
        <w:rPr>
          <w:rFonts w:hint="eastAsia" w:ascii="Times New Roman" w:hAnsi="Times New Roman"/>
          <w:szCs w:val="21"/>
          <w:highlight w:val="none"/>
        </w:rPr>
        <w:t>采购人</w:t>
      </w:r>
      <w:r>
        <w:rPr>
          <w:rFonts w:ascii="Times New Roman" w:hAnsi="Times New Roman"/>
          <w:szCs w:val="21"/>
          <w:highlight w:val="none"/>
        </w:rPr>
        <w:t>提出附加条件，或不按照</w:t>
      </w:r>
      <w:r>
        <w:rPr>
          <w:rFonts w:hint="eastAsia" w:ascii="Times New Roman" w:hAnsi="Times New Roman"/>
          <w:szCs w:val="21"/>
          <w:highlight w:val="none"/>
        </w:rPr>
        <w:t>采购文件</w:t>
      </w:r>
      <w:r>
        <w:rPr>
          <w:rFonts w:ascii="Times New Roman" w:hAnsi="Times New Roman"/>
          <w:szCs w:val="21"/>
          <w:highlight w:val="none"/>
        </w:rPr>
        <w:t>要求</w:t>
      </w:r>
      <w:r>
        <w:rPr>
          <w:rFonts w:hint="eastAsia" w:ascii="Times New Roman" w:hAnsi="Times New Roman"/>
          <w:szCs w:val="21"/>
          <w:highlight w:val="none"/>
        </w:rPr>
        <w:t>递交</w:t>
      </w:r>
      <w:r>
        <w:rPr>
          <w:rFonts w:ascii="Times New Roman" w:hAnsi="Times New Roman"/>
          <w:szCs w:val="21"/>
          <w:highlight w:val="none"/>
        </w:rPr>
        <w:t>履约保证金，或者</w:t>
      </w:r>
      <w:r>
        <w:rPr>
          <w:rFonts w:ascii="Times New Roman" w:hAnsi="Times New Roman"/>
          <w:color w:val="000000"/>
          <w:highlight w:val="none"/>
        </w:rPr>
        <w:t>发生</w:t>
      </w:r>
      <w:r>
        <w:rPr>
          <w:rFonts w:hint="eastAsia" w:ascii="Times New Roman" w:hAnsi="Times New Roman"/>
          <w:color w:val="000000"/>
          <w:highlight w:val="none"/>
        </w:rPr>
        <w:t>采购文件</w:t>
      </w:r>
      <w:r>
        <w:rPr>
          <w:rFonts w:ascii="Times New Roman" w:hAnsi="Times New Roman"/>
          <w:color w:val="000000"/>
          <w:highlight w:val="none"/>
        </w:rPr>
        <w:t>明确规定可以</w:t>
      </w:r>
      <w:r>
        <w:rPr>
          <w:rFonts w:ascii="Times New Roman" w:hAnsi="Times New Roman"/>
          <w:szCs w:val="21"/>
          <w:highlight w:val="none"/>
        </w:rPr>
        <w:t>不予退还</w:t>
      </w:r>
      <w:r>
        <w:rPr>
          <w:rFonts w:hint="eastAsia" w:ascii="Times New Roman" w:hAnsi="Times New Roman"/>
          <w:color w:val="000000"/>
          <w:highlight w:val="none"/>
        </w:rPr>
        <w:t>响应保证金</w:t>
      </w:r>
      <w:r>
        <w:rPr>
          <w:rFonts w:ascii="Times New Roman" w:hAnsi="Times New Roman"/>
          <w:color w:val="000000"/>
          <w:highlight w:val="none"/>
        </w:rPr>
        <w:t>的其他情形</w:t>
      </w:r>
      <w:r>
        <w:rPr>
          <w:rFonts w:ascii="Times New Roman" w:hAnsi="Times New Roman"/>
          <w:szCs w:val="21"/>
          <w:highlight w:val="none"/>
        </w:rPr>
        <w:t>，我方承担保证责任。收到你方书面通知后，我方在7日内向你方无条件支付人民币（大写）</w:t>
      </w:r>
      <w:r>
        <w:rPr>
          <w:rFonts w:ascii="Times New Roman" w:hAnsi="Times New Roman"/>
          <w:highlight w:val="none"/>
          <w:u w:val="single"/>
        </w:rPr>
        <w:t xml:space="preserve">            </w:t>
      </w:r>
      <w:r>
        <w:rPr>
          <w:rFonts w:ascii="Times New Roman" w:hAnsi="Times New Roman"/>
          <w:szCs w:val="21"/>
          <w:highlight w:val="none"/>
        </w:rPr>
        <w:t>。</w:t>
      </w:r>
    </w:p>
    <w:p>
      <w:pPr>
        <w:spacing w:line="440" w:lineRule="exact"/>
        <w:ind w:firstLine="420" w:firstLineChars="200"/>
        <w:rPr>
          <w:rFonts w:ascii="Times New Roman" w:hAnsi="Times New Roman"/>
          <w:szCs w:val="21"/>
          <w:highlight w:val="none"/>
        </w:rPr>
      </w:pPr>
      <w:r>
        <w:rPr>
          <w:rFonts w:ascii="Times New Roman" w:hAnsi="Times New Roman"/>
          <w:szCs w:val="21"/>
          <w:highlight w:val="none"/>
        </w:rPr>
        <w:t>本保函在</w:t>
      </w:r>
      <w:r>
        <w:rPr>
          <w:rFonts w:hint="eastAsia" w:ascii="Times New Roman" w:hAnsi="Times New Roman"/>
          <w:szCs w:val="21"/>
          <w:highlight w:val="none"/>
        </w:rPr>
        <w:t>响应文件有效期</w:t>
      </w:r>
      <w:r>
        <w:rPr>
          <w:rFonts w:ascii="Times New Roman" w:hAnsi="Times New Roman"/>
          <w:szCs w:val="21"/>
          <w:highlight w:val="none"/>
        </w:rPr>
        <w:t>内保持有效。要求我方承担保证责任的通知应在</w:t>
      </w:r>
      <w:r>
        <w:rPr>
          <w:rFonts w:hint="eastAsia" w:ascii="Times New Roman" w:hAnsi="Times New Roman"/>
          <w:szCs w:val="21"/>
          <w:highlight w:val="none"/>
        </w:rPr>
        <w:t>响应文件有效期</w:t>
      </w:r>
      <w:r>
        <w:rPr>
          <w:rFonts w:ascii="Times New Roman" w:hAnsi="Times New Roman"/>
          <w:szCs w:val="21"/>
          <w:highlight w:val="none"/>
        </w:rPr>
        <w:t>内送达我方。</w:t>
      </w:r>
    </w:p>
    <w:p>
      <w:pPr>
        <w:spacing w:line="440" w:lineRule="exact"/>
        <w:rPr>
          <w:rFonts w:ascii="Times New Roman" w:hAnsi="Times New Roman"/>
          <w:szCs w:val="21"/>
          <w:highlight w:val="none"/>
        </w:rPr>
      </w:pPr>
    </w:p>
    <w:p>
      <w:pPr>
        <w:spacing w:line="440" w:lineRule="exact"/>
        <w:rPr>
          <w:rFonts w:ascii="Times New Roman" w:hAnsi="Times New Roman"/>
          <w:szCs w:val="21"/>
          <w:highlight w:val="none"/>
        </w:rPr>
      </w:pPr>
    </w:p>
    <w:p>
      <w:pPr>
        <w:spacing w:line="440" w:lineRule="exact"/>
        <w:ind w:firstLine="3208" w:firstLineChars="1528"/>
        <w:jc w:val="right"/>
        <w:rPr>
          <w:rFonts w:ascii="Times New Roman" w:hAnsi="Times New Roman"/>
          <w:szCs w:val="21"/>
          <w:highlight w:val="none"/>
        </w:rPr>
      </w:pPr>
    </w:p>
    <w:p>
      <w:pPr>
        <w:spacing w:line="440" w:lineRule="exact"/>
        <w:ind w:firstLine="3208" w:firstLineChars="1528"/>
        <w:jc w:val="right"/>
        <w:rPr>
          <w:rFonts w:ascii="Times New Roman" w:hAnsi="Times New Roman"/>
          <w:szCs w:val="21"/>
          <w:highlight w:val="none"/>
        </w:rPr>
      </w:pPr>
    </w:p>
    <w:p>
      <w:pPr>
        <w:spacing w:line="440" w:lineRule="exact"/>
        <w:ind w:firstLine="3208" w:firstLineChars="1528"/>
        <w:jc w:val="right"/>
        <w:rPr>
          <w:rFonts w:ascii="Times New Roman" w:hAnsi="Times New Roman"/>
          <w:szCs w:val="21"/>
          <w:highlight w:val="none"/>
        </w:rPr>
      </w:pPr>
      <w:r>
        <w:rPr>
          <w:rFonts w:ascii="Times New Roman" w:hAnsi="Times New Roman"/>
          <w:szCs w:val="21"/>
          <w:highlight w:val="none"/>
        </w:rPr>
        <w:t>担保人名称：</w:t>
      </w:r>
      <w:r>
        <w:rPr>
          <w:rFonts w:ascii="Times New Roman" w:hAnsi="Times New Roman"/>
          <w:szCs w:val="21"/>
          <w:highlight w:val="none"/>
          <w:u w:val="single"/>
        </w:rPr>
        <w:t xml:space="preserve">             </w:t>
      </w:r>
      <w:r>
        <w:rPr>
          <w:rFonts w:ascii="Times New Roman" w:hAnsi="Times New Roman"/>
          <w:szCs w:val="21"/>
          <w:highlight w:val="none"/>
          <w:u w:val="single"/>
        </w:rPr>
        <w:tab/>
      </w:r>
      <w:r>
        <w:rPr>
          <w:rFonts w:ascii="Times New Roman" w:hAnsi="Times New Roman"/>
          <w:szCs w:val="21"/>
          <w:highlight w:val="none"/>
          <w:u w:val="single"/>
        </w:rPr>
        <w:t xml:space="preserve">           </w:t>
      </w:r>
      <w:r>
        <w:rPr>
          <w:rFonts w:ascii="Times New Roman" w:hAnsi="Times New Roman"/>
          <w:szCs w:val="21"/>
          <w:highlight w:val="none"/>
          <w:u w:val="single"/>
        </w:rPr>
        <w:tab/>
      </w:r>
      <w:r>
        <w:rPr>
          <w:rFonts w:ascii="Times New Roman" w:hAnsi="Times New Roman"/>
          <w:szCs w:val="21"/>
          <w:highlight w:val="none"/>
          <w:u w:val="single"/>
        </w:rPr>
        <w:t>（盖单位章）</w:t>
      </w:r>
    </w:p>
    <w:p>
      <w:pPr>
        <w:spacing w:line="440" w:lineRule="exact"/>
        <w:ind w:firstLine="3208" w:firstLineChars="1528"/>
        <w:jc w:val="right"/>
        <w:rPr>
          <w:rFonts w:ascii="Times New Roman" w:hAnsi="Times New Roman"/>
          <w:szCs w:val="21"/>
          <w:highlight w:val="none"/>
        </w:rPr>
      </w:pPr>
      <w:r>
        <w:rPr>
          <w:rFonts w:ascii="Times New Roman" w:hAnsi="Times New Roman"/>
          <w:szCs w:val="21"/>
          <w:highlight w:val="none"/>
        </w:rPr>
        <w:t>地     址：</w:t>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 xml:space="preserve">                     </w:t>
      </w:r>
      <w:r>
        <w:rPr>
          <w:rFonts w:ascii="Times New Roman" w:hAnsi="Times New Roman"/>
          <w:szCs w:val="21"/>
          <w:highlight w:val="none"/>
          <w:u w:val="single"/>
        </w:rPr>
        <w:tab/>
      </w:r>
    </w:p>
    <w:p>
      <w:pPr>
        <w:spacing w:line="440" w:lineRule="exact"/>
        <w:ind w:firstLine="3208" w:firstLineChars="1528"/>
        <w:jc w:val="right"/>
        <w:rPr>
          <w:rFonts w:ascii="Times New Roman" w:hAnsi="Times New Roman"/>
          <w:szCs w:val="21"/>
          <w:highlight w:val="none"/>
          <w:u w:val="single"/>
        </w:rPr>
      </w:pPr>
      <w:r>
        <w:rPr>
          <w:rFonts w:ascii="Times New Roman" w:hAnsi="Times New Roman"/>
          <w:szCs w:val="21"/>
          <w:highlight w:val="none"/>
        </w:rPr>
        <w:t>邮政编码：</w:t>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ab/>
      </w:r>
      <w:r>
        <w:rPr>
          <w:rFonts w:ascii="Times New Roman" w:hAnsi="Times New Roman"/>
          <w:szCs w:val="21"/>
          <w:highlight w:val="none"/>
          <w:u w:val="single"/>
        </w:rPr>
        <w:t xml:space="preserve">            </w:t>
      </w:r>
      <w:r>
        <w:rPr>
          <w:rFonts w:ascii="Times New Roman" w:hAnsi="Times New Roman"/>
          <w:szCs w:val="21"/>
          <w:highlight w:val="none"/>
          <w:u w:val="single"/>
        </w:rPr>
        <w:tab/>
      </w:r>
      <w:bookmarkStart w:id="423" w:name="_Toc369531703"/>
      <w:bookmarkStart w:id="424" w:name="_Toc352691667"/>
      <w:bookmarkStart w:id="425" w:name="_Toc361508758"/>
      <w:bookmarkStart w:id="426" w:name="_Toc22972"/>
      <w:bookmarkStart w:id="427" w:name="_Toc384308382"/>
      <w:r>
        <w:rPr>
          <w:rFonts w:ascii="Times New Roman" w:hAnsi="Times New Roman"/>
          <w:szCs w:val="21"/>
          <w:highlight w:val="none"/>
          <w:u w:val="single"/>
        </w:rPr>
        <w:tab/>
      </w:r>
    </w:p>
    <w:p>
      <w:pPr>
        <w:spacing w:line="440" w:lineRule="exact"/>
        <w:ind w:firstLine="3208" w:firstLineChars="1528"/>
        <w:jc w:val="right"/>
        <w:rPr>
          <w:rFonts w:ascii="Times New Roman" w:hAnsi="Times New Roman"/>
          <w:szCs w:val="21"/>
          <w:highlight w:val="none"/>
        </w:rPr>
      </w:pPr>
      <w:r>
        <w:rPr>
          <w:rFonts w:ascii="Times New Roman" w:hAnsi="Times New Roman"/>
          <w:szCs w:val="21"/>
          <w:highlight w:val="none"/>
        </w:rPr>
        <w:t>电</w:t>
      </w:r>
      <w:bookmarkEnd w:id="423"/>
      <w:bookmarkEnd w:id="424"/>
      <w:bookmarkEnd w:id="425"/>
      <w:bookmarkEnd w:id="426"/>
      <w:bookmarkEnd w:id="427"/>
      <w:r>
        <w:rPr>
          <w:rFonts w:ascii="Times New Roman" w:hAnsi="Times New Roman"/>
          <w:szCs w:val="21"/>
          <w:highlight w:val="none"/>
        </w:rPr>
        <w:t xml:space="preserve">     话：</w:t>
      </w:r>
      <w:r>
        <w:rPr>
          <w:rFonts w:ascii="Times New Roman" w:hAnsi="Times New Roman"/>
          <w:szCs w:val="21"/>
          <w:highlight w:val="none"/>
          <w:u w:val="single"/>
        </w:rPr>
        <w:t xml:space="preserve">          </w:t>
      </w:r>
      <w:r>
        <w:rPr>
          <w:rFonts w:ascii="Times New Roman" w:hAnsi="Times New Roman"/>
          <w:szCs w:val="21"/>
          <w:highlight w:val="none"/>
          <w:u w:val="single"/>
        </w:rPr>
        <w:tab/>
      </w:r>
      <w:r>
        <w:rPr>
          <w:rFonts w:ascii="Times New Roman" w:hAnsi="Times New Roman"/>
          <w:szCs w:val="21"/>
          <w:highlight w:val="none"/>
          <w:u w:val="single"/>
        </w:rPr>
        <w:t xml:space="preserve">                         </w:t>
      </w:r>
      <w:r>
        <w:rPr>
          <w:rFonts w:ascii="Times New Roman" w:hAnsi="Times New Roman"/>
          <w:szCs w:val="21"/>
          <w:highlight w:val="none"/>
          <w:u w:val="single"/>
        </w:rPr>
        <w:tab/>
      </w:r>
    </w:p>
    <w:p>
      <w:pPr>
        <w:pStyle w:val="4"/>
        <w:ind w:left="0" w:leftChars="0" w:firstLine="0" w:firstLineChars="0"/>
        <w:jc w:val="center"/>
        <w:rPr>
          <w:rFonts w:hint="eastAsia"/>
          <w:color w:val="auto"/>
          <w:highlight w:val="none"/>
        </w:rPr>
      </w:pPr>
      <w:r>
        <w:rPr>
          <w:rFonts w:ascii="Times New Roman" w:hAnsi="Times New Roman" w:eastAsia="宋体" w:cs="Times New Roman"/>
          <w:kern w:val="2"/>
          <w:sz w:val="21"/>
          <w:szCs w:val="21"/>
          <w:highlight w:val="none"/>
          <w:lang w:val="en-US" w:eastAsia="zh-CN" w:bidi="ar-SA"/>
        </w:rPr>
        <w:t>年</w:t>
      </w:r>
      <w:r>
        <w:rPr>
          <w:rFonts w:ascii="Times New Roman" w:hAnsi="Times New Roman" w:eastAsia="宋体" w:cs="Times New Roman"/>
          <w:kern w:val="2"/>
          <w:sz w:val="21"/>
          <w:szCs w:val="21"/>
          <w:highlight w:val="none"/>
          <w:u w:val="single"/>
          <w:lang w:val="en-US" w:eastAsia="zh-CN" w:bidi="ar-SA"/>
        </w:rPr>
        <w:t xml:space="preserve">        </w:t>
      </w:r>
      <w:r>
        <w:rPr>
          <w:rFonts w:ascii="Times New Roman" w:hAnsi="Times New Roman" w:eastAsia="宋体" w:cs="Times New Roman"/>
          <w:kern w:val="2"/>
          <w:sz w:val="21"/>
          <w:szCs w:val="21"/>
          <w:highlight w:val="none"/>
          <w:lang w:val="en-US" w:eastAsia="zh-CN" w:bidi="ar-SA"/>
        </w:rPr>
        <w:t>月</w:t>
      </w:r>
      <w:r>
        <w:rPr>
          <w:rFonts w:ascii="Times New Roman" w:hAnsi="Times New Roman" w:eastAsia="宋体" w:cs="Times New Roman"/>
          <w:kern w:val="2"/>
          <w:sz w:val="21"/>
          <w:szCs w:val="21"/>
          <w:highlight w:val="none"/>
          <w:u w:val="single"/>
          <w:lang w:val="en-US" w:eastAsia="zh-CN" w:bidi="ar-SA"/>
        </w:rPr>
        <w:t xml:space="preserve">        </w:t>
      </w:r>
      <w:r>
        <w:rPr>
          <w:rFonts w:ascii="Times New Roman" w:hAnsi="Times New Roman" w:eastAsia="宋体" w:cs="Times New Roman"/>
          <w:kern w:val="2"/>
          <w:sz w:val="21"/>
          <w:szCs w:val="21"/>
          <w:highlight w:val="none"/>
          <w:lang w:val="en-US" w:eastAsia="zh-CN" w:bidi="ar-SA"/>
        </w:rPr>
        <w:t>日</w:t>
      </w:r>
      <w:r>
        <w:rPr>
          <w:rFonts w:ascii="宋体" w:hAnsi="宋体" w:eastAsia="宋体"/>
          <w:bCs w:val="0"/>
          <w:color w:val="auto"/>
          <w:sz w:val="21"/>
          <w:szCs w:val="22"/>
          <w:highlight w:val="none"/>
        </w:rPr>
        <w:br w:type="page"/>
      </w:r>
      <w:r>
        <w:rPr>
          <w:rFonts w:hint="eastAsia"/>
          <w:color w:val="auto"/>
          <w:highlight w:val="none"/>
        </w:rPr>
        <w:t>四、开标一览表</w:t>
      </w:r>
    </w:p>
    <w:tbl>
      <w:tblPr>
        <w:tblStyle w:val="36"/>
        <w:tblW w:w="91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400"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color w:val="auto"/>
                <w:sz w:val="24"/>
                <w:highlight w:val="none"/>
              </w:rPr>
            </w:pPr>
            <w:r>
              <w:rPr>
                <w:rFonts w:hint="eastAsia" w:ascii="宋体" w:hAnsi="宋体"/>
                <w:b/>
                <w:color w:val="auto"/>
                <w:sz w:val="24"/>
                <w:highlight w:val="none"/>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hint="eastAsia" w:ascii="宋体" w:hAnsi="宋体"/>
                <w:bCs/>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960" w:hRule="atLeast"/>
          <w:jc w:val="center"/>
        </w:trPr>
        <w:tc>
          <w:tcPr>
            <w:tcW w:w="2471" w:type="dxa"/>
            <w:tcBorders>
              <w:top w:val="nil"/>
            </w:tcBorders>
            <w:vAlign w:val="center"/>
          </w:tcPr>
          <w:p>
            <w:pPr>
              <w:spacing w:line="360" w:lineRule="exact"/>
              <w:jc w:val="center"/>
              <w:rPr>
                <w:rFonts w:ascii="宋体" w:hAnsi="宋体"/>
                <w:b/>
                <w:color w:val="auto"/>
                <w:sz w:val="24"/>
                <w:highlight w:val="none"/>
              </w:rPr>
            </w:pPr>
            <w:r>
              <w:rPr>
                <w:rFonts w:hint="eastAsia" w:ascii="宋体" w:hAnsi="宋体"/>
                <w:b/>
                <w:color w:val="auto"/>
                <w:sz w:val="24"/>
                <w:highlight w:val="none"/>
                <w:lang w:val="en-US" w:eastAsia="zh-CN"/>
              </w:rPr>
              <w:t>供应商</w:t>
            </w:r>
            <w:r>
              <w:rPr>
                <w:rFonts w:hint="eastAsia" w:ascii="宋体" w:hAnsi="宋体"/>
                <w:b/>
                <w:color w:val="auto"/>
                <w:sz w:val="24"/>
                <w:highlight w:val="none"/>
              </w:rPr>
              <w:t>全称</w:t>
            </w:r>
          </w:p>
        </w:tc>
        <w:tc>
          <w:tcPr>
            <w:tcW w:w="6667" w:type="dxa"/>
            <w:tcBorders>
              <w:top w:val="nil"/>
            </w:tcBorders>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int="eastAsia" w:ascii="宋体" w:hAnsi="宋体"/>
                <w:b/>
                <w:color w:val="auto"/>
                <w:sz w:val="24"/>
                <w:highlight w:val="none"/>
              </w:rPr>
            </w:pPr>
            <w:r>
              <w:rPr>
                <w:rFonts w:hint="eastAsia" w:ascii="宋体" w:hAnsi="宋体"/>
                <w:b/>
                <w:color w:val="auto"/>
                <w:sz w:val="24"/>
                <w:highlight w:val="none"/>
                <w:lang w:val="en-US" w:eastAsia="zh-CN"/>
              </w:rPr>
              <w:t>响应</w:t>
            </w:r>
            <w:r>
              <w:rPr>
                <w:rFonts w:hint="eastAsia" w:ascii="宋体" w:hAnsi="宋体"/>
                <w:b/>
                <w:color w:val="auto"/>
                <w:sz w:val="24"/>
                <w:highlight w:val="none"/>
              </w:rPr>
              <w:t>总价（元）</w:t>
            </w:r>
          </w:p>
        </w:tc>
        <w:tc>
          <w:tcPr>
            <w:tcW w:w="6667" w:type="dxa"/>
            <w:tcBorders>
              <w:top w:val="nil"/>
            </w:tcBorders>
            <w:vAlign w:val="center"/>
          </w:tcPr>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大写：</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小写：</w:t>
            </w:r>
            <w:r>
              <w:rPr>
                <w:rFonts w:hint="eastAsia" w:ascii="宋体" w:hAnsi="宋体"/>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7" w:hRule="atLeast"/>
          <w:jc w:val="center"/>
        </w:trPr>
        <w:tc>
          <w:tcPr>
            <w:tcW w:w="2471" w:type="dxa"/>
            <w:tcBorders>
              <w:top w:val="nil"/>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c>
          <w:tcPr>
            <w:tcW w:w="6667" w:type="dxa"/>
            <w:tcBorders>
              <w:top w:val="nil"/>
            </w:tcBorders>
            <w:vAlign w:val="center"/>
          </w:tcPr>
          <w:p>
            <w:pPr>
              <w:spacing w:line="360" w:lineRule="auto"/>
              <w:jc w:val="left"/>
              <w:rPr>
                <w:rFonts w:hint="default" w:ascii="宋体" w:hAnsi="宋体" w:eastAsia="宋体"/>
                <w:color w:val="auto"/>
                <w:sz w:val="24"/>
                <w:szCs w:val="28"/>
                <w:highlight w:val="none"/>
                <w:lang w:val="en-US" w:eastAsia="zh-CN"/>
              </w:rPr>
            </w:pPr>
          </w:p>
        </w:tc>
      </w:tr>
    </w:tbl>
    <w:p>
      <w:pPr>
        <w:rPr>
          <w:rFonts w:hint="eastAsia"/>
          <w:color w:val="auto"/>
          <w:highlight w:val="none"/>
          <w:lang w:eastAsia="zh-CN"/>
        </w:rPr>
      </w:pPr>
    </w:p>
    <w:p>
      <w:pPr>
        <w:spacing w:line="440" w:lineRule="exact"/>
        <w:jc w:val="left"/>
        <w:rPr>
          <w:rFonts w:hint="eastAsia" w:ascii="宋体" w:hAnsi="宋体" w:cs="宋体"/>
          <w:color w:val="auto"/>
          <w:sz w:val="24"/>
          <w:highlight w:val="none"/>
        </w:rPr>
      </w:pPr>
    </w:p>
    <w:p>
      <w:pPr>
        <w:spacing w:line="440" w:lineRule="exact"/>
        <w:jc w:val="left"/>
        <w:rPr>
          <w:rFonts w:ascii="宋体" w:hAnsi="宋体"/>
          <w:color w:val="auto"/>
          <w:sz w:val="24"/>
          <w:highlight w:val="none"/>
        </w:rPr>
      </w:pPr>
      <w:r>
        <w:rPr>
          <w:rFonts w:hint="eastAsia" w:ascii="宋体" w:hAnsi="宋体" w:cs="宋体"/>
          <w:color w:val="auto"/>
          <w:sz w:val="24"/>
          <w:highlight w:val="none"/>
        </w:rPr>
        <w:t>法定代表人或授权代理人（签字或盖章）</w:t>
      </w:r>
      <w:r>
        <w:rPr>
          <w:rFonts w:hint="eastAsia" w:ascii="宋体" w:hAnsi="宋体"/>
          <w:color w:val="auto"/>
          <w:sz w:val="24"/>
          <w:highlight w:val="none"/>
        </w:rPr>
        <w:t>：</w:t>
      </w:r>
      <w:r>
        <w:rPr>
          <w:rFonts w:ascii="宋体" w:hAnsi="宋体"/>
          <w:color w:val="auto"/>
          <w:sz w:val="24"/>
          <w:highlight w:val="none"/>
        </w:rPr>
        <w:t>________________________</w:t>
      </w:r>
    </w:p>
    <w:p>
      <w:pPr>
        <w:rPr>
          <w:rFonts w:hint="eastAsia" w:ascii="宋体" w:hAnsi="宋体"/>
          <w:color w:val="auto"/>
          <w:sz w:val="24"/>
          <w:highlight w:val="none"/>
        </w:rPr>
      </w:pPr>
    </w:p>
    <w:p>
      <w:pPr>
        <w:rPr>
          <w:rFonts w:hint="eastAsia" w:ascii="宋体" w:hAnsi="宋体"/>
          <w:color w:val="auto"/>
          <w:sz w:val="24"/>
          <w:highlight w:val="none"/>
          <w:lang w:val="en-US" w:eastAsia="zh-CN"/>
        </w:rPr>
      </w:pPr>
    </w:p>
    <w:p>
      <w:pPr>
        <w:rPr>
          <w:rFonts w:hint="eastAsia" w:ascii="宋体" w:hAnsi="宋体"/>
          <w:color w:val="auto"/>
          <w:sz w:val="24"/>
          <w:highlight w:val="none"/>
          <w:u w:val="single"/>
        </w:rPr>
      </w:pPr>
      <w:r>
        <w:rPr>
          <w:rFonts w:hint="eastAsia" w:ascii="宋体" w:hAnsi="宋体"/>
          <w:color w:val="auto"/>
          <w:sz w:val="24"/>
          <w:highlight w:val="none"/>
          <w:lang w:val="en-US" w:eastAsia="zh-CN"/>
        </w:rPr>
        <w:t>供应商</w:t>
      </w:r>
      <w:r>
        <w:rPr>
          <w:rFonts w:hint="eastAsia" w:ascii="宋体" w:hAnsi="宋体"/>
          <w:color w:val="auto"/>
          <w:sz w:val="24"/>
          <w:highlight w:val="none"/>
        </w:rPr>
        <w:t>电子签章</w:t>
      </w:r>
      <w:r>
        <w:rPr>
          <w:rFonts w:hint="eastAsia" w:ascii="宋体" w:hAnsi="宋体"/>
          <w:color w:val="auto"/>
          <w:sz w:val="24"/>
          <w:highlight w:val="none"/>
          <w:u w:val="single"/>
        </w:rPr>
        <w:t xml:space="preserve">                    </w:t>
      </w:r>
    </w:p>
    <w:p>
      <w:pPr>
        <w:rPr>
          <w:rFonts w:hint="eastAsia"/>
          <w:color w:val="auto"/>
          <w:highlight w:val="none"/>
        </w:rPr>
      </w:pPr>
    </w:p>
    <w:p>
      <w:pPr>
        <w:pStyle w:val="4"/>
        <w:jc w:val="center"/>
        <w:rPr>
          <w:color w:val="auto"/>
          <w:highlight w:val="none"/>
        </w:rPr>
        <w:sectPr>
          <w:footerReference r:id="rId3" w:type="default"/>
          <w:footerReference r:id="rId4" w:type="even"/>
          <w:footnotePr>
            <w:numFmt w:val="decimalEnclosedCircleChinese"/>
            <w:numRestart w:val="eachPage"/>
          </w:footnotePr>
          <w:type w:val="continuous"/>
          <w:pgSz w:w="11906" w:h="16838"/>
          <w:pgMar w:top="1588" w:right="1701" w:bottom="1418" w:left="1701" w:header="851" w:footer="851" w:gutter="0"/>
          <w:cols w:space="720" w:num="1"/>
          <w:docGrid w:linePitch="312" w:charSpace="0"/>
        </w:sectPr>
      </w:pPr>
    </w:p>
    <w:p>
      <w:pPr>
        <w:pStyle w:val="4"/>
        <w:jc w:val="center"/>
        <w:rPr>
          <w:rFonts w:hint="eastAsia"/>
          <w:color w:val="auto"/>
          <w:highlight w:val="none"/>
        </w:rPr>
      </w:pPr>
      <w:r>
        <w:rPr>
          <w:rFonts w:hint="eastAsia"/>
          <w:color w:val="auto"/>
          <w:highlight w:val="none"/>
          <w:lang w:val="en-US" w:eastAsia="zh-CN"/>
        </w:rPr>
        <w:t>4.1</w:t>
      </w:r>
      <w:r>
        <w:rPr>
          <w:color w:val="auto"/>
          <w:highlight w:val="none"/>
        </w:rPr>
        <w:t>、</w:t>
      </w:r>
      <w:r>
        <w:rPr>
          <w:rFonts w:hint="eastAsia"/>
          <w:color w:val="auto"/>
          <w:highlight w:val="none"/>
          <w:lang w:val="en-US" w:eastAsia="zh-CN"/>
        </w:rPr>
        <w:t>设备</w:t>
      </w:r>
      <w:r>
        <w:rPr>
          <w:rFonts w:hint="eastAsia"/>
          <w:color w:val="auto"/>
          <w:highlight w:val="none"/>
        </w:rPr>
        <w:t>分项报价表</w:t>
      </w:r>
    </w:p>
    <w:tbl>
      <w:tblPr>
        <w:tblStyle w:val="36"/>
        <w:tblW w:w="1417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970"/>
        <w:gridCol w:w="1418"/>
        <w:gridCol w:w="1418"/>
        <w:gridCol w:w="1417"/>
        <w:gridCol w:w="1701"/>
        <w:gridCol w:w="1134"/>
        <w:gridCol w:w="1418"/>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8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19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设备通用名称</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注册证中的产品名称</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注册证编号</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生产厂家</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注册证中的</w:t>
            </w:r>
          </w:p>
          <w:p>
            <w:pPr>
              <w:jc w:val="center"/>
              <w:rPr>
                <w:rFonts w:ascii="宋体" w:hAnsi="宋体"/>
                <w:b/>
                <w:color w:val="auto"/>
                <w:szCs w:val="21"/>
                <w:highlight w:val="none"/>
              </w:rPr>
            </w:pPr>
            <w:r>
              <w:rPr>
                <w:rFonts w:hint="eastAsia" w:ascii="宋体" w:hAnsi="宋体"/>
                <w:b/>
                <w:color w:val="auto"/>
                <w:szCs w:val="21"/>
                <w:highlight w:val="none"/>
              </w:rPr>
              <w:t>产品型号和规格</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数量</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单价（元）</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总价（元）</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8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19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8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19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8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19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8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19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8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ascii="宋体" w:hAnsi="宋体"/>
                <w:color w:val="auto"/>
                <w:szCs w:val="21"/>
                <w:highlight w:val="none"/>
              </w:rPr>
              <w:t>……</w:t>
            </w:r>
          </w:p>
        </w:tc>
        <w:tc>
          <w:tcPr>
            <w:tcW w:w="19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28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总计</w:t>
            </w:r>
          </w:p>
        </w:tc>
        <w:tc>
          <w:tcPr>
            <w:tcW w:w="11341"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bl>
    <w:p>
      <w:pPr>
        <w:adjustRightInd w:val="0"/>
        <w:snapToGrid w:val="0"/>
        <w:spacing w:line="320" w:lineRule="exact"/>
        <w:ind w:firstLine="424" w:firstLineChars="202"/>
        <w:rPr>
          <w:rFonts w:hint="eastAsia" w:ascii="宋体" w:hAnsi="宋体" w:eastAsia="宋体" w:cs="Times New Roman"/>
          <w:color w:val="auto"/>
          <w:szCs w:val="22"/>
          <w:highlight w:val="none"/>
        </w:rPr>
      </w:pPr>
    </w:p>
    <w:p>
      <w:pPr>
        <w:adjustRightInd w:val="0"/>
        <w:snapToGrid w:val="0"/>
        <w:spacing w:line="320" w:lineRule="exact"/>
        <w:ind w:firstLine="424" w:firstLineChars="202"/>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电子签章（公章）</w:t>
      </w:r>
      <w:r>
        <w:rPr>
          <w:rFonts w:hint="eastAsia" w:ascii="宋体" w:hAnsi="宋体" w:eastAsia="宋体" w:cs="Times New Roman"/>
          <w:color w:val="auto"/>
          <w:szCs w:val="22"/>
          <w:highlight w:val="none"/>
          <w:u w:val="single"/>
        </w:rPr>
        <w:t xml:space="preserve">                  </w:t>
      </w:r>
      <w:r>
        <w:rPr>
          <w:rFonts w:hint="eastAsia" w:ascii="宋体" w:hAnsi="宋体" w:eastAsia="宋体" w:cs="Times New Roman"/>
          <w:color w:val="auto"/>
          <w:szCs w:val="22"/>
          <w:highlight w:val="none"/>
        </w:rPr>
        <w:t xml:space="preserve">    </w:t>
      </w:r>
    </w:p>
    <w:p>
      <w:pPr>
        <w:adjustRightInd w:val="0"/>
        <w:snapToGrid w:val="0"/>
        <w:spacing w:before="48" w:beforeLines="20" w:after="48" w:afterLines="20" w:line="400" w:lineRule="exact"/>
        <w:rPr>
          <w:rFonts w:hint="eastAsia" w:ascii="宋体" w:hAnsi="宋体"/>
          <w:color w:val="auto"/>
          <w:szCs w:val="22"/>
          <w:highlight w:val="none"/>
        </w:rPr>
      </w:pPr>
      <w:r>
        <w:rPr>
          <w:rFonts w:hint="eastAsia" w:ascii="宋体" w:hAnsi="宋体"/>
          <w:color w:val="auto"/>
          <w:szCs w:val="22"/>
          <w:highlight w:val="none"/>
        </w:rPr>
        <w:t>注：</w:t>
      </w:r>
    </w:p>
    <w:p>
      <w:pPr>
        <w:adjustRightInd w:val="0"/>
        <w:snapToGrid w:val="0"/>
        <w:spacing w:line="320" w:lineRule="exact"/>
        <w:ind w:firstLine="424" w:firstLineChars="202"/>
        <w:rPr>
          <w:rFonts w:hint="eastAsia" w:ascii="宋体" w:hAnsi="宋体"/>
          <w:color w:val="auto"/>
          <w:szCs w:val="22"/>
          <w:highlight w:val="none"/>
        </w:rPr>
      </w:pPr>
      <w:r>
        <w:rPr>
          <w:rFonts w:hint="eastAsia" w:ascii="宋体" w:hAnsi="宋体"/>
          <w:color w:val="auto"/>
          <w:szCs w:val="22"/>
          <w:highlight w:val="none"/>
        </w:rPr>
        <w:t>注：1.如果按单价计算的结果与总价不一致，以单价为准修正总价。</w:t>
      </w:r>
    </w:p>
    <w:p>
      <w:pPr>
        <w:adjustRightInd w:val="0"/>
        <w:snapToGrid w:val="0"/>
        <w:spacing w:line="320" w:lineRule="exact"/>
        <w:ind w:firstLine="424" w:firstLineChars="202"/>
        <w:rPr>
          <w:rFonts w:hint="eastAsia" w:ascii="宋体" w:hAnsi="宋体"/>
          <w:color w:val="auto"/>
          <w:szCs w:val="22"/>
          <w:highlight w:val="none"/>
        </w:rPr>
      </w:pPr>
      <w:r>
        <w:rPr>
          <w:rFonts w:hint="eastAsia" w:ascii="宋体" w:hAnsi="宋体"/>
          <w:color w:val="auto"/>
          <w:szCs w:val="22"/>
          <w:highlight w:val="none"/>
        </w:rPr>
        <w:t>2.本表包括标准件和专用工具。</w:t>
      </w:r>
    </w:p>
    <w:p>
      <w:pPr>
        <w:adjustRightInd w:val="0"/>
        <w:snapToGrid w:val="0"/>
        <w:spacing w:line="320" w:lineRule="exact"/>
        <w:ind w:firstLine="424" w:firstLineChars="202"/>
        <w:rPr>
          <w:rFonts w:hint="eastAsia" w:ascii="宋体" w:hAnsi="宋体"/>
          <w:color w:val="auto"/>
          <w:szCs w:val="22"/>
          <w:highlight w:val="none"/>
        </w:rPr>
      </w:pPr>
      <w:r>
        <w:rPr>
          <w:rFonts w:hint="eastAsia" w:ascii="宋体" w:hAnsi="宋体"/>
          <w:color w:val="auto"/>
          <w:szCs w:val="22"/>
          <w:highlight w:val="none"/>
        </w:rPr>
        <w:t>3.表中所列价格为货到用户现场价格。</w:t>
      </w:r>
    </w:p>
    <w:p>
      <w:pPr>
        <w:adjustRightInd w:val="0"/>
        <w:snapToGrid w:val="0"/>
        <w:spacing w:line="320" w:lineRule="exact"/>
        <w:ind w:firstLine="424" w:firstLineChars="202"/>
        <w:rPr>
          <w:rFonts w:hint="eastAsia" w:ascii="宋体" w:hAnsi="宋体"/>
          <w:color w:val="auto"/>
          <w:szCs w:val="22"/>
          <w:highlight w:val="none"/>
        </w:rPr>
      </w:pPr>
      <w:r>
        <w:rPr>
          <w:rFonts w:hint="eastAsia" w:ascii="宋体" w:hAnsi="宋体"/>
          <w:color w:val="auto"/>
          <w:szCs w:val="22"/>
          <w:highlight w:val="none"/>
        </w:rPr>
        <w:t>4.该表中“注册证产品名称”、“注册证编号”、“注册证规格型号”三栏所填写内容须与参比产品医疗器械注册证产品名称、编号及规格型号一致，否则成交后招标人有权按照投标文件中提供的“中华人民共和国医疗器械注册证”中相关信息进行修正，并按照修正内容签订合同。</w:t>
      </w:r>
    </w:p>
    <w:p>
      <w:pPr>
        <w:adjustRightInd w:val="0"/>
        <w:snapToGrid w:val="0"/>
        <w:spacing w:line="320" w:lineRule="exact"/>
        <w:ind w:firstLine="424" w:firstLineChars="202"/>
        <w:rPr>
          <w:rFonts w:hint="eastAsia" w:ascii="宋体" w:hAnsi="宋体"/>
          <w:color w:val="auto"/>
          <w:szCs w:val="22"/>
          <w:highlight w:val="none"/>
        </w:rPr>
      </w:pPr>
      <w:r>
        <w:rPr>
          <w:rFonts w:hint="eastAsia" w:ascii="宋体" w:hAnsi="宋体"/>
          <w:color w:val="auto"/>
          <w:szCs w:val="22"/>
          <w:highlight w:val="none"/>
        </w:rPr>
        <w:t>5.上表中内容如无法填报（例如某设备无注册证），则可以在对应的空格中填写“/”或“无”。</w:t>
      </w:r>
    </w:p>
    <w:p>
      <w:pPr>
        <w:pStyle w:val="4"/>
        <w:jc w:val="center"/>
        <w:rPr>
          <w:rFonts w:hint="eastAsia"/>
          <w:color w:val="auto"/>
          <w:highlight w:val="none"/>
        </w:rPr>
      </w:pPr>
    </w:p>
    <w:p>
      <w:pPr>
        <w:rPr>
          <w:rFonts w:hint="eastAsia"/>
          <w:color w:val="auto"/>
          <w:highlight w:val="none"/>
        </w:rPr>
      </w:pPr>
    </w:p>
    <w:p>
      <w:pPr>
        <w:rPr>
          <w:color w:val="auto"/>
          <w:highlight w:val="none"/>
        </w:rPr>
        <w:sectPr>
          <w:footnotePr>
            <w:numFmt w:val="decimalEnclosedCircleChinese"/>
            <w:numRestart w:val="eachPage"/>
          </w:footnotePr>
          <w:pgSz w:w="16838" w:h="11906" w:orient="landscape"/>
          <w:pgMar w:top="1701" w:right="1418" w:bottom="1701" w:left="1588" w:header="851" w:footer="851" w:gutter="0"/>
          <w:cols w:space="720" w:num="1"/>
          <w:docGrid w:linePitch="312" w:charSpace="0"/>
        </w:sectPr>
      </w:pPr>
    </w:p>
    <w:p>
      <w:pPr>
        <w:pStyle w:val="3"/>
        <w:spacing w:after="0"/>
        <w:jc w:val="center"/>
        <w:rPr>
          <w:rFonts w:hint="eastAsia" w:ascii="黑体" w:hAnsi="Calibri" w:eastAsia="黑体" w:cs="Times New Roman"/>
          <w:b w:val="0"/>
          <w:color w:val="auto"/>
          <w:kern w:val="2"/>
          <w:sz w:val="28"/>
          <w:szCs w:val="20"/>
          <w:highlight w:val="none"/>
          <w:lang w:val="en-US" w:eastAsia="zh-CN" w:bidi="ar-SA"/>
        </w:rPr>
      </w:pPr>
      <w:r>
        <w:rPr>
          <w:rFonts w:hint="eastAsia" w:ascii="黑体" w:hAnsi="Calibri" w:eastAsia="黑体" w:cs="Times New Roman"/>
          <w:b w:val="0"/>
          <w:color w:val="auto"/>
          <w:kern w:val="2"/>
          <w:sz w:val="28"/>
          <w:szCs w:val="20"/>
          <w:highlight w:val="none"/>
          <w:lang w:val="en-US" w:eastAsia="zh-CN" w:bidi="ar-SA"/>
        </w:rPr>
        <w:t>五、资格审查资料</w:t>
      </w:r>
    </w:p>
    <w:p>
      <w:pPr>
        <w:pStyle w:val="4"/>
        <w:spacing w:before="20" w:after="0"/>
        <w:ind w:firstLine="137"/>
        <w:jc w:val="center"/>
        <w:rPr>
          <w:rFonts w:ascii="Times New Roman" w:hAnsi="Times New Roman"/>
          <w:color w:val="auto"/>
          <w:highlight w:val="none"/>
        </w:rPr>
      </w:pPr>
      <w:bookmarkStart w:id="428" w:name="_Toc2372"/>
      <w:r>
        <w:rPr>
          <w:rFonts w:ascii="Times New Roman" w:hAnsi="Times New Roman"/>
          <w:color w:val="auto"/>
          <w:highlight w:val="none"/>
        </w:rPr>
        <w:t>（一）基本情况</w:t>
      </w:r>
      <w:bookmarkEnd w:id="428"/>
    </w:p>
    <w:p>
      <w:pPr>
        <w:snapToGrid w:val="0"/>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应根据</w:t>
      </w:r>
      <w:r>
        <w:rPr>
          <w:rFonts w:hint="eastAsia" w:ascii="Times New Roman" w:hAnsi="Times New Roman"/>
          <w:color w:val="auto"/>
          <w:highlight w:val="none"/>
        </w:rPr>
        <w:t>供应商</w:t>
      </w:r>
      <w:r>
        <w:rPr>
          <w:rFonts w:ascii="Times New Roman" w:hAnsi="Times New Roman"/>
          <w:color w:val="auto"/>
          <w:highlight w:val="none"/>
        </w:rPr>
        <w:t>须知第3.5</w:t>
      </w:r>
      <w:r>
        <w:rPr>
          <w:rFonts w:hint="eastAsia" w:ascii="Times New Roman" w:hAnsi="Times New Roman"/>
          <w:color w:val="auto"/>
          <w:highlight w:val="none"/>
        </w:rPr>
        <w:t>（1）项和第3.5（2）项</w:t>
      </w:r>
      <w:r>
        <w:rPr>
          <w:rFonts w:ascii="Times New Roman" w:hAnsi="Times New Roman"/>
          <w:color w:val="auto"/>
          <w:highlight w:val="none"/>
        </w:rPr>
        <w:t>的要求</w:t>
      </w:r>
      <w:r>
        <w:rPr>
          <w:rFonts w:hint="eastAsia" w:ascii="Times New Roman" w:hAnsi="Times New Roman"/>
          <w:color w:val="auto"/>
          <w:highlight w:val="none"/>
        </w:rPr>
        <w:t>提供主体资格证明及相关资质</w:t>
      </w:r>
      <w:r>
        <w:rPr>
          <w:rFonts w:ascii="Times New Roman" w:hAnsi="Times New Roman"/>
          <w:color w:val="auto"/>
          <w:highlight w:val="none"/>
        </w:rPr>
        <w:t>证明材料。</w:t>
      </w:r>
    </w:p>
    <w:p>
      <w:pPr>
        <w:snapToGrid w:val="0"/>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供应商还应根据供应商须知前附表第3.5（5）项、第3.5（7）项和第3.5（8）项的要求提供其他相关证明材料。</w:t>
      </w:r>
    </w:p>
    <w:p>
      <w:pPr>
        <w:pStyle w:val="4"/>
        <w:ind w:firstLine="137"/>
        <w:jc w:val="center"/>
        <w:rPr>
          <w:rFonts w:ascii="Times New Roman" w:hAnsi="Times New Roman"/>
          <w:color w:val="auto"/>
          <w:highlight w:val="none"/>
        </w:rPr>
      </w:pPr>
      <w:bookmarkStart w:id="429" w:name="_Toc27623"/>
      <w:r>
        <w:rPr>
          <w:rFonts w:ascii="Times New Roman" w:hAnsi="Times New Roman"/>
          <w:color w:val="auto"/>
          <w:highlight w:val="none"/>
        </w:rPr>
        <w:t>（二）近年财务状况</w:t>
      </w:r>
      <w:bookmarkEnd w:id="429"/>
    </w:p>
    <w:p>
      <w:pPr>
        <w:topLinePunct/>
        <w:spacing w:line="440" w:lineRule="exact"/>
        <w:ind w:firstLine="420" w:firstLineChars="200"/>
        <w:rPr>
          <w:rFonts w:ascii="Times New Roman" w:hAnsi="Times New Roman"/>
          <w:color w:val="auto"/>
          <w:sz w:val="20"/>
          <w:highlight w:val="none"/>
        </w:rPr>
      </w:pPr>
      <w:r>
        <w:rPr>
          <w:rFonts w:hint="eastAsia" w:ascii="Times New Roman" w:hAnsi="Times New Roman"/>
          <w:color w:val="auto"/>
          <w:highlight w:val="none"/>
        </w:rPr>
        <w:t>供应商</w:t>
      </w:r>
      <w:r>
        <w:rPr>
          <w:rFonts w:ascii="Times New Roman" w:hAnsi="Times New Roman"/>
          <w:color w:val="auto"/>
          <w:highlight w:val="none"/>
        </w:rPr>
        <w:t>应根据</w:t>
      </w:r>
      <w:r>
        <w:rPr>
          <w:rFonts w:hint="eastAsia" w:ascii="Times New Roman" w:hAnsi="Times New Roman"/>
          <w:color w:val="auto"/>
          <w:highlight w:val="none"/>
        </w:rPr>
        <w:t>供应商</w:t>
      </w:r>
      <w:r>
        <w:rPr>
          <w:rFonts w:ascii="Times New Roman" w:hAnsi="Times New Roman"/>
          <w:color w:val="auto"/>
          <w:highlight w:val="none"/>
        </w:rPr>
        <w:t>须知第3.5</w:t>
      </w:r>
      <w:r>
        <w:rPr>
          <w:rFonts w:hint="eastAsia" w:ascii="Times New Roman" w:hAnsi="Times New Roman"/>
          <w:color w:val="auto"/>
          <w:highlight w:val="none"/>
        </w:rPr>
        <w:t>（3）项</w:t>
      </w:r>
      <w:r>
        <w:rPr>
          <w:rFonts w:ascii="Times New Roman" w:hAnsi="Times New Roman"/>
          <w:color w:val="auto"/>
          <w:highlight w:val="none"/>
        </w:rPr>
        <w:t>的要求</w:t>
      </w:r>
      <w:r>
        <w:rPr>
          <w:rFonts w:hint="eastAsia" w:ascii="Times New Roman" w:hAnsi="Times New Roman"/>
          <w:color w:val="auto"/>
          <w:highlight w:val="none"/>
        </w:rPr>
        <w:t>提供</w:t>
      </w:r>
      <w:r>
        <w:rPr>
          <w:rFonts w:ascii="Times New Roman" w:hAnsi="Times New Roman"/>
          <w:color w:val="auto"/>
          <w:highlight w:val="none"/>
        </w:rPr>
        <w:t>近年</w:t>
      </w:r>
      <w:r>
        <w:rPr>
          <w:rFonts w:hint="eastAsia"/>
          <w:color w:val="auto"/>
          <w:highlight w:val="none"/>
        </w:rPr>
        <w:t>财务会计报表</w:t>
      </w:r>
      <w:r>
        <w:rPr>
          <w:rFonts w:hint="eastAsia" w:ascii="Times New Roman" w:hAnsi="Times New Roman"/>
          <w:color w:val="auto"/>
          <w:highlight w:val="none"/>
        </w:rPr>
        <w:t>复印件</w:t>
      </w:r>
      <w:r>
        <w:rPr>
          <w:rFonts w:ascii="Times New Roman" w:hAnsi="Times New Roman"/>
          <w:color w:val="auto"/>
          <w:highlight w:val="none"/>
        </w:rPr>
        <w:t>。</w:t>
      </w:r>
    </w:p>
    <w:p>
      <w:pPr>
        <w:pStyle w:val="4"/>
        <w:ind w:firstLine="137"/>
        <w:jc w:val="center"/>
        <w:rPr>
          <w:rFonts w:ascii="Times New Roman" w:hAnsi="Times New Roman"/>
          <w:color w:val="auto"/>
          <w:highlight w:val="none"/>
        </w:rPr>
      </w:pPr>
      <w:bookmarkStart w:id="430" w:name="_Toc17769"/>
      <w:r>
        <w:rPr>
          <w:rFonts w:ascii="Times New Roman" w:hAnsi="Times New Roman"/>
          <w:color w:val="auto"/>
          <w:highlight w:val="none"/>
        </w:rPr>
        <w:t>（三）近年的类似项目情况表</w:t>
      </w:r>
      <w:bookmarkEnd w:id="430"/>
    </w:p>
    <w:tbl>
      <w:tblPr>
        <w:tblStyle w:val="3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Times New Roman" w:hAnsi="Times New Roman"/>
                <w:color w:val="auto"/>
                <w:szCs w:val="21"/>
                <w:highlight w:val="none"/>
              </w:rPr>
            </w:pPr>
            <w:r>
              <w:rPr>
                <w:rFonts w:hint="eastAsia" w:ascii="Times New Roman" w:hAnsi="Times New Roman"/>
                <w:color w:val="auto"/>
                <w:szCs w:val="21"/>
                <w:highlight w:val="none"/>
              </w:rPr>
              <w:t>货物</w:t>
            </w:r>
            <w:r>
              <w:rPr>
                <w:rFonts w:ascii="Times New Roman" w:hAnsi="Times New Roman"/>
                <w:color w:val="auto"/>
                <w:szCs w:val="21"/>
                <w:highlight w:val="none"/>
              </w:rPr>
              <w:t>名称</w:t>
            </w:r>
          </w:p>
        </w:tc>
        <w:tc>
          <w:tcPr>
            <w:tcW w:w="6253" w:type="dxa"/>
            <w:vAlign w:val="top"/>
          </w:tcPr>
          <w:p>
            <w:pPr>
              <w:topLinePunct/>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规格和型号</w:t>
            </w:r>
          </w:p>
        </w:tc>
        <w:tc>
          <w:tcPr>
            <w:tcW w:w="6253" w:type="dxa"/>
            <w:vAlign w:val="top"/>
          </w:tcPr>
          <w:p>
            <w:pPr>
              <w:topLinePunct/>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269" w:type="dxa"/>
            <w:vAlign w:val="center"/>
          </w:tcPr>
          <w:p>
            <w:pPr>
              <w:topLinePunct/>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项目名称</w:t>
            </w:r>
          </w:p>
        </w:tc>
        <w:tc>
          <w:tcPr>
            <w:tcW w:w="6253" w:type="dxa"/>
            <w:vAlign w:val="top"/>
          </w:tcPr>
          <w:p>
            <w:pPr>
              <w:topLinePunct/>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269" w:type="dxa"/>
            <w:vAlign w:val="center"/>
          </w:tcPr>
          <w:p>
            <w:pPr>
              <w:topLinePunct/>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买方名称</w:t>
            </w:r>
          </w:p>
        </w:tc>
        <w:tc>
          <w:tcPr>
            <w:tcW w:w="6253" w:type="dxa"/>
            <w:vAlign w:val="top"/>
          </w:tcPr>
          <w:p>
            <w:pPr>
              <w:topLinePunct/>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269" w:type="dxa"/>
            <w:vAlign w:val="center"/>
          </w:tcPr>
          <w:p>
            <w:pPr>
              <w:topLinePunct/>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买方联系人及电话</w:t>
            </w:r>
          </w:p>
        </w:tc>
        <w:tc>
          <w:tcPr>
            <w:tcW w:w="6253" w:type="dxa"/>
            <w:vAlign w:val="top"/>
          </w:tcPr>
          <w:p>
            <w:pPr>
              <w:topLinePunct/>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269" w:type="dxa"/>
            <w:vAlign w:val="center"/>
          </w:tcPr>
          <w:p>
            <w:pPr>
              <w:topLinePunct/>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合同价格</w:t>
            </w:r>
          </w:p>
        </w:tc>
        <w:tc>
          <w:tcPr>
            <w:tcW w:w="6253" w:type="dxa"/>
            <w:vAlign w:val="top"/>
          </w:tcPr>
          <w:p>
            <w:pPr>
              <w:topLinePunct/>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269" w:type="dxa"/>
            <w:vAlign w:val="center"/>
          </w:tcPr>
          <w:p>
            <w:pPr>
              <w:topLinePunct/>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项目概况及</w:t>
            </w:r>
            <w:r>
              <w:rPr>
                <w:rFonts w:hint="eastAsia" w:ascii="Times New Roman" w:hAnsi="Times New Roman"/>
                <w:color w:val="auto"/>
                <w:szCs w:val="21"/>
                <w:highlight w:val="none"/>
              </w:rPr>
              <w:t>供应商</w:t>
            </w:r>
            <w:r>
              <w:rPr>
                <w:rFonts w:ascii="Times New Roman" w:hAnsi="Times New Roman"/>
                <w:color w:val="auto"/>
                <w:szCs w:val="21"/>
                <w:highlight w:val="none"/>
              </w:rPr>
              <w:t>履约情况</w:t>
            </w:r>
          </w:p>
        </w:tc>
        <w:tc>
          <w:tcPr>
            <w:tcW w:w="6253" w:type="dxa"/>
            <w:vAlign w:val="top"/>
          </w:tcPr>
          <w:p>
            <w:pPr>
              <w:topLinePunct/>
              <w:spacing w:line="440" w:lineRule="exact"/>
              <w:rPr>
                <w:rFonts w:ascii="Times New Roman" w:hAnsi="Times New Roman"/>
                <w:color w:val="auto"/>
                <w:highlight w:val="none"/>
              </w:rPr>
            </w:pPr>
          </w:p>
          <w:p>
            <w:pPr>
              <w:topLinePunct/>
              <w:spacing w:line="440" w:lineRule="exact"/>
              <w:rPr>
                <w:rFonts w:ascii="Times New Roman" w:hAnsi="Times New Roman"/>
                <w:color w:val="auto"/>
                <w:highlight w:val="none"/>
              </w:rPr>
            </w:pPr>
          </w:p>
          <w:p>
            <w:pPr>
              <w:topLinePunct/>
              <w:spacing w:line="440" w:lineRule="exact"/>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269" w:type="dxa"/>
            <w:vAlign w:val="center"/>
          </w:tcPr>
          <w:p>
            <w:pPr>
              <w:topLinePunct/>
              <w:spacing w:line="440" w:lineRule="exact"/>
              <w:jc w:val="center"/>
              <w:rPr>
                <w:rFonts w:ascii="Times New Roman" w:hAnsi="Times New Roman"/>
                <w:color w:val="auto"/>
                <w:szCs w:val="21"/>
                <w:highlight w:val="none"/>
              </w:rPr>
            </w:pPr>
            <w:r>
              <w:rPr>
                <w:rFonts w:ascii="Times New Roman" w:hAnsi="Times New Roman"/>
                <w:color w:val="auto"/>
                <w:szCs w:val="21"/>
                <w:highlight w:val="none"/>
              </w:rPr>
              <w:t>备注</w:t>
            </w:r>
          </w:p>
        </w:tc>
        <w:tc>
          <w:tcPr>
            <w:tcW w:w="6253" w:type="dxa"/>
            <w:vAlign w:val="top"/>
          </w:tcPr>
          <w:p>
            <w:pPr>
              <w:topLinePunct/>
              <w:spacing w:line="440" w:lineRule="exact"/>
              <w:rPr>
                <w:rFonts w:ascii="Times New Roman" w:hAnsi="Times New Roman"/>
                <w:color w:val="auto"/>
                <w:highlight w:val="none"/>
              </w:rPr>
            </w:pPr>
          </w:p>
        </w:tc>
      </w:tr>
    </w:tbl>
    <w:p>
      <w:pPr>
        <w:pStyle w:val="4"/>
        <w:jc w:val="center"/>
        <w:rPr>
          <w:rFonts w:hint="eastAsia" w:ascii="宋体" w:hAnsi="宋体"/>
          <w:b/>
          <w:bCs/>
          <w:color w:val="auto"/>
          <w:sz w:val="28"/>
          <w:szCs w:val="28"/>
          <w:highlight w:val="none"/>
        </w:rPr>
      </w:pPr>
      <w:r>
        <w:rPr>
          <w:rFonts w:ascii="Times New Roman" w:hAnsi="Times New Roman" w:eastAsia="宋体" w:cs="Times New Roman"/>
          <w:color w:val="auto"/>
          <w:kern w:val="2"/>
          <w:sz w:val="21"/>
          <w:szCs w:val="21"/>
          <w:highlight w:val="none"/>
          <w:lang w:val="en-US" w:eastAsia="zh-CN" w:bidi="ar-SA"/>
        </w:rPr>
        <w:t>注：</w:t>
      </w:r>
      <w:r>
        <w:rPr>
          <w:rFonts w:hint="eastAsia" w:ascii="Times New Roman" w:hAnsi="Times New Roman" w:eastAsia="宋体" w:cs="Times New Roman"/>
          <w:color w:val="auto"/>
          <w:kern w:val="2"/>
          <w:sz w:val="21"/>
          <w:szCs w:val="21"/>
          <w:highlight w:val="none"/>
          <w:lang w:val="en-US" w:eastAsia="zh-CN" w:bidi="ar-SA"/>
        </w:rPr>
        <w:t>供应商</w:t>
      </w:r>
      <w:r>
        <w:rPr>
          <w:rFonts w:ascii="Times New Roman" w:hAnsi="Times New Roman" w:eastAsia="宋体" w:cs="Times New Roman"/>
          <w:color w:val="auto"/>
          <w:kern w:val="2"/>
          <w:sz w:val="21"/>
          <w:szCs w:val="21"/>
          <w:highlight w:val="none"/>
          <w:lang w:val="en-US" w:eastAsia="zh-CN" w:bidi="ar-SA"/>
        </w:rPr>
        <w:t>应根据</w:t>
      </w:r>
      <w:r>
        <w:rPr>
          <w:rFonts w:hint="eastAsia" w:ascii="Times New Roman" w:hAnsi="Times New Roman" w:eastAsia="宋体" w:cs="Times New Roman"/>
          <w:color w:val="auto"/>
          <w:kern w:val="2"/>
          <w:sz w:val="21"/>
          <w:szCs w:val="21"/>
          <w:highlight w:val="none"/>
          <w:lang w:val="en-US" w:eastAsia="zh-CN" w:bidi="ar-SA"/>
        </w:rPr>
        <w:t>供应商</w:t>
      </w:r>
      <w:r>
        <w:rPr>
          <w:rFonts w:ascii="Times New Roman" w:hAnsi="Times New Roman" w:eastAsia="宋体" w:cs="Times New Roman"/>
          <w:color w:val="auto"/>
          <w:kern w:val="2"/>
          <w:sz w:val="21"/>
          <w:szCs w:val="21"/>
          <w:highlight w:val="none"/>
          <w:lang w:val="en-US" w:eastAsia="zh-CN" w:bidi="ar-SA"/>
        </w:rPr>
        <w:t>须知第3.5</w:t>
      </w:r>
      <w:r>
        <w:rPr>
          <w:rFonts w:hint="eastAsia" w:ascii="Times New Roman" w:hAnsi="Times New Roman" w:eastAsia="宋体" w:cs="Times New Roman"/>
          <w:color w:val="auto"/>
          <w:kern w:val="2"/>
          <w:sz w:val="21"/>
          <w:szCs w:val="21"/>
          <w:highlight w:val="none"/>
          <w:lang w:val="en-US" w:eastAsia="zh-CN" w:bidi="ar-SA"/>
        </w:rPr>
        <w:t>（4）项</w:t>
      </w:r>
      <w:r>
        <w:rPr>
          <w:rFonts w:ascii="Times New Roman" w:hAnsi="Times New Roman" w:eastAsia="宋体" w:cs="Times New Roman"/>
          <w:color w:val="auto"/>
          <w:kern w:val="2"/>
          <w:sz w:val="21"/>
          <w:szCs w:val="21"/>
          <w:highlight w:val="none"/>
          <w:lang w:val="en-US" w:eastAsia="zh-CN" w:bidi="ar-SA"/>
        </w:rPr>
        <w:t>的要求在本表后附相关证明材料。</w:t>
      </w:r>
      <w:r>
        <w:rPr>
          <w:snapToGrid w:val="0"/>
          <w:color w:val="auto"/>
          <w:kern w:val="0"/>
          <w:highlight w:val="none"/>
        </w:rPr>
        <w:br w:type="page"/>
      </w:r>
      <w:bookmarkEnd w:id="407"/>
      <w:bookmarkEnd w:id="408"/>
      <w:bookmarkEnd w:id="409"/>
      <w:bookmarkEnd w:id="410"/>
      <w:bookmarkEnd w:id="411"/>
      <w:bookmarkStart w:id="431" w:name="_Toc421917020"/>
      <w:bookmarkStart w:id="432" w:name="_Toc535241148"/>
      <w:bookmarkStart w:id="433" w:name="_Toc460227145"/>
      <w:bookmarkStart w:id="434" w:name="_Toc390411639"/>
      <w:bookmarkStart w:id="435" w:name="_Toc460660260"/>
      <w:r>
        <w:rPr>
          <w:rFonts w:hint="eastAsia"/>
          <w:color w:val="auto"/>
          <w:highlight w:val="none"/>
          <w:lang w:val="en-US" w:eastAsia="zh-CN"/>
        </w:rPr>
        <w:t>六</w:t>
      </w:r>
      <w:r>
        <w:rPr>
          <w:rFonts w:hint="eastAsia"/>
          <w:color w:val="auto"/>
          <w:highlight w:val="none"/>
        </w:rPr>
        <w:t>、</w:t>
      </w:r>
      <w:bookmarkEnd w:id="431"/>
      <w:bookmarkEnd w:id="432"/>
      <w:bookmarkEnd w:id="433"/>
      <w:bookmarkEnd w:id="434"/>
      <w:bookmarkEnd w:id="435"/>
      <w:r>
        <w:rPr>
          <w:rFonts w:hint="eastAsia" w:cs="Times New Roman"/>
          <w:bCs/>
          <w:color w:val="auto"/>
          <w:highlight w:val="none"/>
        </w:rPr>
        <w:t>响应/偏离表</w:t>
      </w:r>
    </w:p>
    <w:p>
      <w:pPr>
        <w:pStyle w:val="60"/>
        <w:rPr>
          <w:color w:val="auto"/>
          <w:highlight w:val="none"/>
        </w:rPr>
      </w:pPr>
    </w:p>
    <w:p>
      <w:pPr>
        <w:rPr>
          <w:color w:val="auto"/>
          <w:highlight w:val="none"/>
        </w:rPr>
      </w:pPr>
      <w:r>
        <w:rPr>
          <w:rFonts w:hint="eastAsia" w:ascii="宋体"/>
          <w:color w:val="auto"/>
          <w:sz w:val="24"/>
          <w:highlight w:val="none"/>
          <w:lang w:val="en-US" w:eastAsia="zh-CN"/>
        </w:rPr>
        <w:t>6</w:t>
      </w:r>
      <w:r>
        <w:rPr>
          <w:rFonts w:ascii="宋体"/>
          <w:color w:val="auto"/>
          <w:sz w:val="24"/>
          <w:highlight w:val="none"/>
        </w:rPr>
        <w:t>.1</w:t>
      </w:r>
      <w:r>
        <w:rPr>
          <w:color w:val="auto"/>
          <w:sz w:val="24"/>
          <w:highlight w:val="none"/>
        </w:rPr>
        <w:t xml:space="preserve"> </w:t>
      </w:r>
      <w:r>
        <w:rPr>
          <w:rFonts w:hint="eastAsia" w:ascii="宋体"/>
          <w:color w:val="auto"/>
          <w:sz w:val="24"/>
          <w:highlight w:val="none"/>
        </w:rPr>
        <w:t>技术规格响应/偏离表</w:t>
      </w:r>
      <w:r>
        <w:rPr>
          <w:rFonts w:ascii="宋体"/>
          <w:color w:val="auto"/>
          <w:sz w:val="24"/>
          <w:highlight w:val="none"/>
        </w:rPr>
        <w:t xml:space="preserve"> </w:t>
      </w:r>
      <w:r>
        <w:rPr>
          <w:rFonts w:hint="eastAsia"/>
          <w:color w:val="auto"/>
          <w:sz w:val="24"/>
          <w:highlight w:val="none"/>
        </w:rPr>
        <w:t>（参见第</w:t>
      </w:r>
      <w:r>
        <w:rPr>
          <w:rFonts w:hint="eastAsia"/>
          <w:color w:val="auto"/>
          <w:sz w:val="24"/>
          <w:highlight w:val="none"/>
          <w:lang w:val="en-US" w:eastAsia="zh-CN"/>
        </w:rPr>
        <w:t>五</w:t>
      </w:r>
      <w:r>
        <w:rPr>
          <w:rFonts w:hint="eastAsia"/>
          <w:color w:val="auto"/>
          <w:sz w:val="24"/>
          <w:highlight w:val="none"/>
        </w:rPr>
        <w:t>章</w:t>
      </w:r>
      <w:r>
        <w:rPr>
          <w:rFonts w:hint="eastAsia"/>
          <w:color w:val="auto"/>
          <w:sz w:val="24"/>
          <w:highlight w:val="none"/>
          <w:lang w:val="en-US" w:eastAsia="zh-CN"/>
        </w:rPr>
        <w:t>采购需求</w:t>
      </w:r>
      <w:r>
        <w:rPr>
          <w:rFonts w:hint="eastAsia"/>
          <w:color w:val="auto"/>
          <w:sz w:val="24"/>
          <w:highlight w:val="none"/>
        </w:rPr>
        <w:t>）</w:t>
      </w:r>
    </w:p>
    <w:p>
      <w:pPr>
        <w:rPr>
          <w:color w:val="auto"/>
          <w:highlight w:val="none"/>
        </w:rPr>
      </w:pPr>
      <w:r>
        <w:rPr>
          <w:rFonts w:hint="eastAsia" w:ascii="宋体"/>
          <w:color w:val="auto"/>
          <w:sz w:val="24"/>
          <w:highlight w:val="none"/>
        </w:rPr>
        <w:t>包号：</w:t>
      </w:r>
    </w:p>
    <w:tbl>
      <w:tblPr>
        <w:tblStyle w:val="36"/>
        <w:tblW w:w="8996"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994"/>
        <w:gridCol w:w="1656"/>
        <w:gridCol w:w="1656"/>
        <w:gridCol w:w="1420"/>
        <w:gridCol w:w="1183"/>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8" w:hRule="atLeast"/>
        </w:trPr>
        <w:tc>
          <w:tcPr>
            <w:tcW w:w="1087" w:type="dxa"/>
            <w:tcBorders>
              <w:top w:val="single" w:color="auto" w:sz="4" w:space="0"/>
              <w:left w:val="single" w:color="auto" w:sz="4" w:space="0"/>
              <w:bottom w:val="single" w:color="auto" w:sz="4" w:space="0"/>
              <w:right w:val="single" w:color="auto" w:sz="4" w:space="0"/>
            </w:tcBorders>
            <w:vAlign w:val="top"/>
          </w:tcPr>
          <w:p>
            <w:pPr>
              <w:jc w:val="center"/>
              <w:rPr>
                <w:color w:val="auto"/>
                <w:highlight w:val="none"/>
              </w:rPr>
            </w:pPr>
            <w:r>
              <w:rPr>
                <w:rFonts w:hint="eastAsia" w:ascii="宋体"/>
                <w:color w:val="auto"/>
                <w:sz w:val="24"/>
                <w:highlight w:val="none"/>
              </w:rPr>
              <w:t>序号</w:t>
            </w:r>
          </w:p>
        </w:tc>
        <w:tc>
          <w:tcPr>
            <w:tcW w:w="1994" w:type="dxa"/>
            <w:tcBorders>
              <w:top w:val="single" w:color="auto" w:sz="4" w:space="0"/>
              <w:left w:val="single" w:color="auto" w:sz="4" w:space="0"/>
              <w:bottom w:val="single" w:color="auto" w:sz="4" w:space="0"/>
              <w:right w:val="single" w:color="auto" w:sz="4" w:space="0"/>
            </w:tcBorders>
            <w:vAlign w:val="top"/>
          </w:tcPr>
          <w:p>
            <w:pPr>
              <w:jc w:val="center"/>
              <w:rPr>
                <w:color w:val="auto"/>
                <w:highlight w:val="none"/>
              </w:rPr>
            </w:pPr>
            <w:r>
              <w:rPr>
                <w:rFonts w:hint="eastAsia" w:ascii="宋体"/>
                <w:color w:val="auto"/>
                <w:sz w:val="24"/>
                <w:highlight w:val="none"/>
              </w:rPr>
              <w:t>货物名称</w:t>
            </w:r>
          </w:p>
        </w:tc>
        <w:tc>
          <w:tcPr>
            <w:tcW w:w="1656" w:type="dxa"/>
            <w:tcBorders>
              <w:top w:val="single" w:color="auto" w:sz="4" w:space="0"/>
              <w:left w:val="single" w:color="auto" w:sz="4" w:space="0"/>
              <w:bottom w:val="single" w:color="auto" w:sz="4" w:space="0"/>
              <w:right w:val="single" w:color="auto" w:sz="4" w:space="0"/>
            </w:tcBorders>
            <w:vAlign w:val="top"/>
          </w:tcPr>
          <w:p>
            <w:pPr>
              <w:jc w:val="center"/>
              <w:rPr>
                <w:color w:val="auto"/>
                <w:highlight w:val="none"/>
              </w:rPr>
            </w:pPr>
            <w:r>
              <w:rPr>
                <w:rFonts w:hint="eastAsia" w:ascii="宋体"/>
                <w:color w:val="auto"/>
                <w:sz w:val="24"/>
                <w:highlight w:val="none"/>
              </w:rPr>
              <w:t>招标规格及技术要求（参数）</w:t>
            </w:r>
          </w:p>
        </w:tc>
        <w:tc>
          <w:tcPr>
            <w:tcW w:w="1656" w:type="dxa"/>
            <w:tcBorders>
              <w:top w:val="single" w:color="auto" w:sz="4" w:space="0"/>
              <w:left w:val="single" w:color="auto" w:sz="4" w:space="0"/>
              <w:bottom w:val="single" w:color="auto" w:sz="4" w:space="0"/>
              <w:right w:val="single" w:color="auto" w:sz="4" w:space="0"/>
            </w:tcBorders>
            <w:vAlign w:val="top"/>
          </w:tcPr>
          <w:p>
            <w:pPr>
              <w:jc w:val="center"/>
              <w:rPr>
                <w:color w:val="auto"/>
                <w:highlight w:val="none"/>
              </w:rPr>
            </w:pPr>
            <w:r>
              <w:rPr>
                <w:rFonts w:hint="eastAsia" w:ascii="宋体"/>
                <w:color w:val="auto"/>
                <w:sz w:val="24"/>
                <w:highlight w:val="none"/>
              </w:rPr>
              <w:t>投标规格及技术响应</w:t>
            </w:r>
          </w:p>
        </w:tc>
        <w:tc>
          <w:tcPr>
            <w:tcW w:w="1420" w:type="dxa"/>
            <w:tcBorders>
              <w:top w:val="single" w:color="auto" w:sz="4" w:space="0"/>
              <w:left w:val="single" w:color="auto" w:sz="4" w:space="0"/>
              <w:bottom w:val="single" w:color="auto" w:sz="4" w:space="0"/>
              <w:right w:val="single" w:color="auto" w:sz="4" w:space="0"/>
            </w:tcBorders>
            <w:vAlign w:val="top"/>
          </w:tcPr>
          <w:p>
            <w:pPr>
              <w:jc w:val="center"/>
              <w:rPr>
                <w:rFonts w:ascii="宋体"/>
                <w:color w:val="auto"/>
                <w:sz w:val="24"/>
                <w:highlight w:val="none"/>
              </w:rPr>
            </w:pPr>
            <w:r>
              <w:rPr>
                <w:rFonts w:hint="eastAsia" w:ascii="宋体"/>
                <w:color w:val="auto"/>
                <w:sz w:val="24"/>
                <w:highlight w:val="none"/>
              </w:rPr>
              <w:t>响应/偏离</w:t>
            </w:r>
          </w:p>
        </w:tc>
        <w:tc>
          <w:tcPr>
            <w:tcW w:w="1183" w:type="dxa"/>
            <w:tcBorders>
              <w:top w:val="single" w:color="auto" w:sz="4" w:space="0"/>
              <w:left w:val="single" w:color="auto" w:sz="4" w:space="0"/>
              <w:bottom w:val="single" w:color="auto" w:sz="4" w:space="0"/>
              <w:right w:val="single" w:color="auto" w:sz="4" w:space="0"/>
            </w:tcBorders>
            <w:vAlign w:val="top"/>
          </w:tcPr>
          <w:p>
            <w:pPr>
              <w:jc w:val="center"/>
              <w:rPr>
                <w:color w:val="auto"/>
                <w:highlight w:val="none"/>
              </w:rPr>
            </w:pPr>
            <w:r>
              <w:rPr>
                <w:rFonts w:hint="eastAsia" w:ascii="宋体"/>
                <w:color w:val="auto"/>
                <w:sz w:val="24"/>
                <w:highlight w:val="none"/>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trPr>
        <w:tc>
          <w:tcPr>
            <w:tcW w:w="1087" w:type="dxa"/>
            <w:tcBorders>
              <w:top w:val="single" w:color="auto" w:sz="4" w:space="0"/>
              <w:left w:val="single" w:color="auto" w:sz="4" w:space="0"/>
              <w:bottom w:val="single" w:color="auto" w:sz="4" w:space="0"/>
              <w:right w:val="single" w:color="auto" w:sz="4" w:space="0"/>
            </w:tcBorders>
            <w:vAlign w:val="top"/>
          </w:tcPr>
          <w:p>
            <w:pPr>
              <w:rPr>
                <w:rFonts w:ascii="宋体"/>
                <w:color w:val="auto"/>
                <w:sz w:val="24"/>
                <w:highlight w:val="none"/>
              </w:rPr>
            </w:pPr>
          </w:p>
        </w:tc>
        <w:tc>
          <w:tcPr>
            <w:tcW w:w="1994" w:type="dxa"/>
            <w:tcBorders>
              <w:top w:val="single" w:color="auto" w:sz="4" w:space="0"/>
              <w:left w:val="single" w:color="auto" w:sz="4" w:space="0"/>
              <w:bottom w:val="single" w:color="auto" w:sz="4" w:space="0"/>
              <w:right w:val="single" w:color="auto" w:sz="4" w:space="0"/>
            </w:tcBorders>
            <w:vAlign w:val="top"/>
          </w:tcPr>
          <w:p>
            <w:pPr>
              <w:rPr>
                <w:rFonts w:ascii="宋体"/>
                <w:color w:val="auto"/>
                <w:sz w:val="24"/>
                <w:highlight w:val="none"/>
              </w:rPr>
            </w:pPr>
          </w:p>
        </w:tc>
        <w:tc>
          <w:tcPr>
            <w:tcW w:w="1656" w:type="dxa"/>
            <w:tcBorders>
              <w:top w:val="single" w:color="auto" w:sz="4" w:space="0"/>
              <w:left w:val="single" w:color="auto" w:sz="4" w:space="0"/>
              <w:bottom w:val="single" w:color="auto" w:sz="4" w:space="0"/>
              <w:right w:val="single" w:color="auto" w:sz="4" w:space="0"/>
            </w:tcBorders>
            <w:vAlign w:val="top"/>
          </w:tcPr>
          <w:p>
            <w:pPr>
              <w:rPr>
                <w:rFonts w:ascii="宋体"/>
                <w:color w:val="auto"/>
                <w:sz w:val="24"/>
                <w:highlight w:val="none"/>
              </w:rPr>
            </w:pPr>
          </w:p>
        </w:tc>
        <w:tc>
          <w:tcPr>
            <w:tcW w:w="1656" w:type="dxa"/>
            <w:tcBorders>
              <w:top w:val="single" w:color="auto" w:sz="4" w:space="0"/>
              <w:left w:val="single" w:color="auto" w:sz="4" w:space="0"/>
              <w:bottom w:val="single" w:color="auto" w:sz="4" w:space="0"/>
              <w:right w:val="single" w:color="auto" w:sz="4" w:space="0"/>
            </w:tcBorders>
            <w:vAlign w:val="top"/>
          </w:tcPr>
          <w:p>
            <w:pPr>
              <w:rPr>
                <w:rFonts w:ascii="宋体"/>
                <w:color w:val="auto"/>
                <w:sz w:val="24"/>
                <w:highlight w:val="none"/>
              </w:rPr>
            </w:pPr>
          </w:p>
        </w:tc>
        <w:tc>
          <w:tcPr>
            <w:tcW w:w="1420" w:type="dxa"/>
            <w:tcBorders>
              <w:top w:val="single" w:color="auto" w:sz="4" w:space="0"/>
              <w:left w:val="single" w:color="auto" w:sz="4" w:space="0"/>
              <w:bottom w:val="single" w:color="auto" w:sz="4" w:space="0"/>
              <w:right w:val="single" w:color="auto" w:sz="4" w:space="0"/>
            </w:tcBorders>
            <w:vAlign w:val="top"/>
          </w:tcPr>
          <w:p>
            <w:pPr>
              <w:rPr>
                <w:rFonts w:ascii="宋体"/>
                <w:color w:val="auto"/>
                <w:sz w:val="24"/>
                <w:highlight w:val="none"/>
              </w:rPr>
            </w:pPr>
          </w:p>
        </w:tc>
        <w:tc>
          <w:tcPr>
            <w:tcW w:w="1183" w:type="dxa"/>
            <w:tcBorders>
              <w:top w:val="single" w:color="auto" w:sz="4" w:space="0"/>
              <w:left w:val="single" w:color="auto" w:sz="4" w:space="0"/>
              <w:bottom w:val="single" w:color="auto" w:sz="4" w:space="0"/>
              <w:right w:val="single" w:color="auto" w:sz="4" w:space="0"/>
            </w:tcBorders>
            <w:vAlign w:val="top"/>
          </w:tcPr>
          <w:p>
            <w:pPr>
              <w:rPr>
                <w:rFonts w:ascii="宋体"/>
                <w:color w:val="auto"/>
                <w:sz w:val="24"/>
                <w:highlight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087" w:type="dxa"/>
            <w:tcBorders>
              <w:top w:val="single" w:color="auto" w:sz="4" w:space="0"/>
              <w:left w:val="single" w:color="auto" w:sz="4" w:space="0"/>
              <w:bottom w:val="single" w:color="auto" w:sz="4" w:space="0"/>
              <w:right w:val="single" w:color="auto" w:sz="4" w:space="0"/>
            </w:tcBorders>
            <w:vAlign w:val="top"/>
          </w:tcPr>
          <w:p>
            <w:pPr>
              <w:rPr>
                <w:rFonts w:ascii="宋体"/>
                <w:color w:val="auto"/>
                <w:sz w:val="24"/>
                <w:highlight w:val="none"/>
              </w:rPr>
            </w:pPr>
          </w:p>
        </w:tc>
        <w:tc>
          <w:tcPr>
            <w:tcW w:w="1994" w:type="dxa"/>
            <w:tcBorders>
              <w:top w:val="single" w:color="auto" w:sz="4" w:space="0"/>
              <w:left w:val="single" w:color="auto" w:sz="4" w:space="0"/>
              <w:bottom w:val="single" w:color="auto" w:sz="4" w:space="0"/>
              <w:right w:val="single" w:color="auto" w:sz="4" w:space="0"/>
            </w:tcBorders>
            <w:vAlign w:val="top"/>
          </w:tcPr>
          <w:p>
            <w:pPr>
              <w:rPr>
                <w:rFonts w:ascii="宋体"/>
                <w:color w:val="auto"/>
                <w:sz w:val="24"/>
                <w:highlight w:val="none"/>
              </w:rPr>
            </w:pPr>
          </w:p>
        </w:tc>
        <w:tc>
          <w:tcPr>
            <w:tcW w:w="1656" w:type="dxa"/>
            <w:tcBorders>
              <w:top w:val="single" w:color="auto" w:sz="4" w:space="0"/>
              <w:left w:val="single" w:color="auto" w:sz="4" w:space="0"/>
              <w:bottom w:val="single" w:color="auto" w:sz="4" w:space="0"/>
              <w:right w:val="single" w:color="auto" w:sz="4" w:space="0"/>
            </w:tcBorders>
            <w:vAlign w:val="top"/>
          </w:tcPr>
          <w:p>
            <w:pPr>
              <w:rPr>
                <w:rFonts w:ascii="宋体"/>
                <w:color w:val="auto"/>
                <w:sz w:val="24"/>
                <w:highlight w:val="none"/>
              </w:rPr>
            </w:pPr>
          </w:p>
        </w:tc>
        <w:tc>
          <w:tcPr>
            <w:tcW w:w="1656" w:type="dxa"/>
            <w:tcBorders>
              <w:top w:val="single" w:color="auto" w:sz="4" w:space="0"/>
              <w:left w:val="single" w:color="auto" w:sz="4" w:space="0"/>
              <w:bottom w:val="single" w:color="auto" w:sz="4" w:space="0"/>
              <w:right w:val="single" w:color="auto" w:sz="4" w:space="0"/>
            </w:tcBorders>
            <w:vAlign w:val="top"/>
          </w:tcPr>
          <w:p>
            <w:pPr>
              <w:rPr>
                <w:rFonts w:ascii="宋体"/>
                <w:color w:val="auto"/>
                <w:sz w:val="24"/>
                <w:highlight w:val="none"/>
              </w:rPr>
            </w:pPr>
          </w:p>
        </w:tc>
        <w:tc>
          <w:tcPr>
            <w:tcW w:w="1420" w:type="dxa"/>
            <w:tcBorders>
              <w:top w:val="single" w:color="auto" w:sz="4" w:space="0"/>
              <w:left w:val="single" w:color="auto" w:sz="4" w:space="0"/>
              <w:bottom w:val="single" w:color="auto" w:sz="4" w:space="0"/>
              <w:right w:val="single" w:color="auto" w:sz="4" w:space="0"/>
            </w:tcBorders>
            <w:vAlign w:val="top"/>
          </w:tcPr>
          <w:p>
            <w:pPr>
              <w:rPr>
                <w:rFonts w:ascii="宋体"/>
                <w:color w:val="auto"/>
                <w:sz w:val="24"/>
                <w:highlight w:val="none"/>
              </w:rPr>
            </w:pPr>
          </w:p>
        </w:tc>
        <w:tc>
          <w:tcPr>
            <w:tcW w:w="1183" w:type="dxa"/>
            <w:tcBorders>
              <w:top w:val="single" w:color="auto" w:sz="4" w:space="0"/>
              <w:left w:val="single" w:color="auto" w:sz="4" w:space="0"/>
              <w:bottom w:val="single" w:color="auto" w:sz="4" w:space="0"/>
              <w:right w:val="single" w:color="auto" w:sz="4" w:space="0"/>
            </w:tcBorders>
            <w:vAlign w:val="top"/>
          </w:tcPr>
          <w:p>
            <w:pPr>
              <w:rPr>
                <w:rFonts w:ascii="宋体"/>
                <w:color w:val="auto"/>
                <w:sz w:val="24"/>
                <w:highlight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1087" w:type="dxa"/>
            <w:tcBorders>
              <w:top w:val="single" w:color="auto" w:sz="4" w:space="0"/>
              <w:left w:val="single" w:color="auto" w:sz="4" w:space="0"/>
              <w:bottom w:val="single" w:color="auto" w:sz="4" w:space="0"/>
              <w:right w:val="single" w:color="auto" w:sz="4" w:space="0"/>
            </w:tcBorders>
            <w:vAlign w:val="top"/>
          </w:tcPr>
          <w:p>
            <w:pPr>
              <w:rPr>
                <w:rFonts w:hint="eastAsia" w:ascii="宋体"/>
                <w:color w:val="auto"/>
                <w:sz w:val="24"/>
                <w:highlight w:val="none"/>
              </w:rPr>
            </w:pPr>
            <w:r>
              <w:rPr>
                <w:rFonts w:ascii="宋体"/>
                <w:color w:val="auto"/>
                <w:sz w:val="24"/>
                <w:highlight w:val="none"/>
              </w:rPr>
              <w:t>……</w:t>
            </w:r>
          </w:p>
        </w:tc>
        <w:tc>
          <w:tcPr>
            <w:tcW w:w="1994" w:type="dxa"/>
            <w:tcBorders>
              <w:top w:val="single" w:color="auto" w:sz="4" w:space="0"/>
              <w:left w:val="single" w:color="auto" w:sz="4" w:space="0"/>
              <w:bottom w:val="single" w:color="auto" w:sz="4" w:space="0"/>
              <w:right w:val="single" w:color="auto" w:sz="4" w:space="0"/>
            </w:tcBorders>
            <w:vAlign w:val="top"/>
          </w:tcPr>
          <w:p>
            <w:pPr>
              <w:rPr>
                <w:rFonts w:hint="eastAsia" w:ascii="宋体"/>
                <w:color w:val="auto"/>
                <w:sz w:val="24"/>
                <w:highlight w:val="none"/>
              </w:rPr>
            </w:pPr>
          </w:p>
        </w:tc>
        <w:tc>
          <w:tcPr>
            <w:tcW w:w="1656" w:type="dxa"/>
            <w:tcBorders>
              <w:top w:val="single" w:color="auto" w:sz="4" w:space="0"/>
              <w:left w:val="single" w:color="auto" w:sz="4" w:space="0"/>
              <w:bottom w:val="single" w:color="auto" w:sz="4" w:space="0"/>
              <w:right w:val="single" w:color="auto" w:sz="4" w:space="0"/>
            </w:tcBorders>
            <w:vAlign w:val="top"/>
          </w:tcPr>
          <w:p>
            <w:pPr>
              <w:rPr>
                <w:rFonts w:ascii="宋体"/>
                <w:color w:val="auto"/>
                <w:sz w:val="24"/>
                <w:highlight w:val="none"/>
              </w:rPr>
            </w:pPr>
          </w:p>
        </w:tc>
        <w:tc>
          <w:tcPr>
            <w:tcW w:w="1656" w:type="dxa"/>
            <w:tcBorders>
              <w:top w:val="single" w:color="auto" w:sz="4" w:space="0"/>
              <w:left w:val="single" w:color="auto" w:sz="4" w:space="0"/>
              <w:bottom w:val="single" w:color="auto" w:sz="4" w:space="0"/>
              <w:right w:val="single" w:color="auto" w:sz="4" w:space="0"/>
            </w:tcBorders>
            <w:vAlign w:val="top"/>
          </w:tcPr>
          <w:p>
            <w:pPr>
              <w:rPr>
                <w:rFonts w:ascii="宋体"/>
                <w:color w:val="auto"/>
                <w:sz w:val="24"/>
                <w:highlight w:val="none"/>
              </w:rPr>
            </w:pPr>
          </w:p>
        </w:tc>
        <w:tc>
          <w:tcPr>
            <w:tcW w:w="1420" w:type="dxa"/>
            <w:tcBorders>
              <w:top w:val="single" w:color="auto" w:sz="4" w:space="0"/>
              <w:left w:val="single" w:color="auto" w:sz="4" w:space="0"/>
              <w:bottom w:val="single" w:color="auto" w:sz="4" w:space="0"/>
              <w:right w:val="single" w:color="auto" w:sz="4" w:space="0"/>
            </w:tcBorders>
            <w:vAlign w:val="top"/>
          </w:tcPr>
          <w:p>
            <w:pPr>
              <w:rPr>
                <w:rFonts w:ascii="宋体"/>
                <w:color w:val="auto"/>
                <w:sz w:val="24"/>
                <w:highlight w:val="none"/>
              </w:rPr>
            </w:pPr>
          </w:p>
        </w:tc>
        <w:tc>
          <w:tcPr>
            <w:tcW w:w="1183" w:type="dxa"/>
            <w:tcBorders>
              <w:top w:val="single" w:color="auto" w:sz="4" w:space="0"/>
              <w:left w:val="single" w:color="auto" w:sz="4" w:space="0"/>
              <w:bottom w:val="single" w:color="auto" w:sz="4" w:space="0"/>
              <w:right w:val="single" w:color="auto" w:sz="4" w:space="0"/>
            </w:tcBorders>
            <w:vAlign w:val="top"/>
          </w:tcPr>
          <w:p>
            <w:pPr>
              <w:rPr>
                <w:rFonts w:ascii="宋体"/>
                <w:color w:val="auto"/>
                <w:sz w:val="24"/>
                <w:highlight w:val="none"/>
              </w:rPr>
            </w:pPr>
          </w:p>
        </w:tc>
      </w:tr>
    </w:tbl>
    <w:p>
      <w:pPr>
        <w:pStyle w:val="60"/>
        <w:rPr>
          <w:color w:val="auto"/>
          <w:szCs w:val="24"/>
          <w:highlight w:val="none"/>
        </w:rPr>
      </w:pPr>
    </w:p>
    <w:p>
      <w:pPr>
        <w:pStyle w:val="12"/>
        <w:rPr>
          <w:rFonts w:hint="eastAsia"/>
          <w:color w:val="auto"/>
          <w:highlight w:val="none"/>
        </w:rPr>
      </w:pPr>
    </w:p>
    <w:p>
      <w:pPr>
        <w:rPr>
          <w:color w:val="auto"/>
          <w:highlight w:val="none"/>
        </w:rPr>
      </w:pPr>
      <w:r>
        <w:rPr>
          <w:rFonts w:hint="eastAsia" w:ascii="宋体"/>
          <w:color w:val="auto"/>
          <w:sz w:val="24"/>
          <w:highlight w:val="none"/>
          <w:lang w:val="en-US" w:eastAsia="zh-CN"/>
        </w:rPr>
        <w:t>6</w:t>
      </w:r>
      <w:r>
        <w:rPr>
          <w:rFonts w:ascii="宋体"/>
          <w:color w:val="auto"/>
          <w:sz w:val="24"/>
          <w:highlight w:val="none"/>
        </w:rPr>
        <w:t xml:space="preserve">.2 </w:t>
      </w:r>
      <w:r>
        <w:rPr>
          <w:rFonts w:hint="eastAsia" w:ascii="宋体"/>
          <w:color w:val="auto"/>
          <w:sz w:val="24"/>
          <w:highlight w:val="none"/>
        </w:rPr>
        <w:t>商务条款响应/偏离表</w:t>
      </w:r>
      <w:r>
        <w:rPr>
          <w:rFonts w:ascii="宋体"/>
          <w:color w:val="auto"/>
          <w:sz w:val="24"/>
          <w:highlight w:val="none"/>
        </w:rPr>
        <w:t xml:space="preserve"> </w:t>
      </w:r>
      <w:r>
        <w:rPr>
          <w:rFonts w:hint="eastAsia"/>
          <w:color w:val="auto"/>
          <w:sz w:val="24"/>
          <w:highlight w:val="none"/>
        </w:rPr>
        <w:t>（参见</w:t>
      </w:r>
      <w:r>
        <w:rPr>
          <w:rFonts w:hint="eastAsia"/>
          <w:color w:val="auto"/>
          <w:sz w:val="24"/>
          <w:highlight w:val="none"/>
          <w:lang w:val="en-US" w:eastAsia="zh-CN"/>
        </w:rPr>
        <w:t>询比文件</w:t>
      </w:r>
      <w:r>
        <w:rPr>
          <w:rFonts w:hint="eastAsia"/>
          <w:color w:val="auto"/>
          <w:sz w:val="24"/>
          <w:highlight w:val="none"/>
        </w:rPr>
        <w:t>）</w:t>
      </w:r>
    </w:p>
    <w:p>
      <w:pPr>
        <w:ind w:firstLine="240" w:firstLineChars="100"/>
        <w:rPr>
          <w:color w:val="auto"/>
          <w:highlight w:val="none"/>
        </w:rPr>
      </w:pPr>
      <w:r>
        <w:rPr>
          <w:rFonts w:hint="eastAsia" w:ascii="宋体"/>
          <w:color w:val="auto"/>
          <w:sz w:val="24"/>
          <w:highlight w:val="none"/>
        </w:rPr>
        <w:t>包号：</w:t>
      </w:r>
    </w:p>
    <w:tbl>
      <w:tblPr>
        <w:tblStyle w:val="36"/>
        <w:tblW w:w="8996" w:type="dxa"/>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2215"/>
        <w:gridCol w:w="1879"/>
        <w:gridCol w:w="1537"/>
        <w:gridCol w:w="1150"/>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trPr>
        <w:tc>
          <w:tcPr>
            <w:tcW w:w="2215"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ascii="宋体"/>
                <w:color w:val="auto"/>
                <w:sz w:val="24"/>
                <w:highlight w:val="none"/>
              </w:rPr>
              <w:t>序号</w:t>
            </w:r>
          </w:p>
        </w:tc>
        <w:tc>
          <w:tcPr>
            <w:tcW w:w="2215" w:type="dxa"/>
            <w:tcBorders>
              <w:top w:val="single" w:color="auto" w:sz="4" w:space="0"/>
              <w:left w:val="single" w:color="auto" w:sz="4" w:space="0"/>
              <w:right w:val="single" w:color="auto" w:sz="4" w:space="0"/>
            </w:tcBorders>
            <w:vAlign w:val="center"/>
          </w:tcPr>
          <w:p>
            <w:pPr>
              <w:ind w:left="240" w:hanging="240" w:hangingChars="100"/>
              <w:jc w:val="center"/>
              <w:rPr>
                <w:rFonts w:ascii="宋体"/>
                <w:color w:val="auto"/>
                <w:sz w:val="24"/>
                <w:highlight w:val="none"/>
              </w:rPr>
            </w:pPr>
            <w:r>
              <w:rPr>
                <w:rFonts w:hint="eastAsia" w:ascii="宋体"/>
                <w:color w:val="auto"/>
                <w:sz w:val="24"/>
                <w:highlight w:val="none"/>
              </w:rPr>
              <w:t>招标文件的</w:t>
            </w:r>
          </w:p>
          <w:p>
            <w:pPr>
              <w:ind w:left="240" w:hanging="240" w:hangingChars="100"/>
              <w:jc w:val="center"/>
              <w:rPr>
                <w:color w:val="auto"/>
                <w:highlight w:val="none"/>
              </w:rPr>
            </w:pPr>
            <w:r>
              <w:rPr>
                <w:rFonts w:hint="eastAsia" w:ascii="宋体"/>
                <w:color w:val="auto"/>
                <w:sz w:val="24"/>
                <w:highlight w:val="none"/>
              </w:rPr>
              <w:t>商务条款</w:t>
            </w:r>
          </w:p>
        </w:tc>
        <w:tc>
          <w:tcPr>
            <w:tcW w:w="1879" w:type="dxa"/>
            <w:tcBorders>
              <w:top w:val="single" w:color="auto" w:sz="4" w:space="0"/>
              <w:left w:val="single" w:color="auto" w:sz="4" w:space="0"/>
              <w:right w:val="single" w:color="auto" w:sz="4" w:space="0"/>
            </w:tcBorders>
            <w:vAlign w:val="center"/>
          </w:tcPr>
          <w:p>
            <w:pPr>
              <w:ind w:left="240" w:hanging="240" w:hangingChars="100"/>
              <w:jc w:val="center"/>
              <w:rPr>
                <w:rFonts w:ascii="宋体"/>
                <w:color w:val="auto"/>
                <w:sz w:val="24"/>
                <w:highlight w:val="none"/>
              </w:rPr>
            </w:pPr>
            <w:r>
              <w:rPr>
                <w:rFonts w:hint="eastAsia" w:ascii="宋体"/>
                <w:color w:val="auto"/>
                <w:sz w:val="24"/>
                <w:highlight w:val="none"/>
              </w:rPr>
              <w:t>投标文件的</w:t>
            </w:r>
          </w:p>
          <w:p>
            <w:pPr>
              <w:ind w:left="240" w:hanging="240" w:hangingChars="100"/>
              <w:jc w:val="center"/>
              <w:rPr>
                <w:color w:val="auto"/>
                <w:highlight w:val="none"/>
              </w:rPr>
            </w:pPr>
            <w:r>
              <w:rPr>
                <w:rFonts w:hint="eastAsia" w:ascii="宋体"/>
                <w:color w:val="auto"/>
                <w:sz w:val="24"/>
                <w:highlight w:val="none"/>
              </w:rPr>
              <w:t>商务条款</w:t>
            </w:r>
          </w:p>
        </w:tc>
        <w:tc>
          <w:tcPr>
            <w:tcW w:w="1537" w:type="dxa"/>
            <w:tcBorders>
              <w:top w:val="single" w:color="auto" w:sz="4" w:space="0"/>
              <w:left w:val="single" w:color="auto" w:sz="4" w:space="0"/>
              <w:right w:val="single" w:color="auto" w:sz="4" w:space="0"/>
            </w:tcBorders>
            <w:vAlign w:val="center"/>
          </w:tcPr>
          <w:p>
            <w:pPr>
              <w:jc w:val="center"/>
              <w:rPr>
                <w:rFonts w:hint="eastAsia" w:ascii="宋体"/>
                <w:color w:val="auto"/>
                <w:sz w:val="24"/>
                <w:highlight w:val="none"/>
              </w:rPr>
            </w:pPr>
            <w:r>
              <w:rPr>
                <w:rFonts w:hint="eastAsia" w:ascii="宋体"/>
                <w:color w:val="auto"/>
                <w:sz w:val="24"/>
                <w:highlight w:val="none"/>
              </w:rPr>
              <w:t>响应/偏离</w:t>
            </w:r>
          </w:p>
        </w:tc>
        <w:tc>
          <w:tcPr>
            <w:tcW w:w="1150" w:type="dxa"/>
            <w:tcBorders>
              <w:top w:val="single" w:color="auto" w:sz="4" w:space="0"/>
              <w:left w:val="single" w:color="auto" w:sz="4" w:space="0"/>
              <w:right w:val="single" w:color="auto" w:sz="4" w:space="0"/>
            </w:tcBorders>
            <w:vAlign w:val="center"/>
          </w:tcPr>
          <w:p>
            <w:pPr>
              <w:jc w:val="center"/>
              <w:rPr>
                <w:color w:val="auto"/>
                <w:highlight w:val="none"/>
              </w:rPr>
            </w:pPr>
            <w:r>
              <w:rPr>
                <w:rFonts w:hint="eastAsia" w:ascii="宋体"/>
                <w:color w:val="auto"/>
                <w:sz w:val="24"/>
                <w:highlight w:val="none"/>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4" w:hRule="atLeast"/>
        </w:trPr>
        <w:tc>
          <w:tcPr>
            <w:tcW w:w="2215" w:type="dxa"/>
            <w:tcBorders>
              <w:top w:val="single" w:color="auto" w:sz="4" w:space="0"/>
              <w:left w:val="single" w:color="auto" w:sz="4" w:space="0"/>
              <w:bottom w:val="single" w:color="auto" w:sz="4" w:space="0"/>
              <w:right w:val="single" w:color="auto" w:sz="4" w:space="0"/>
            </w:tcBorders>
            <w:vAlign w:val="center"/>
          </w:tcPr>
          <w:p>
            <w:pPr>
              <w:rPr>
                <w:rFonts w:ascii="宋体"/>
                <w:color w:val="auto"/>
                <w:sz w:val="24"/>
                <w:highlight w:val="none"/>
              </w:rPr>
            </w:pPr>
          </w:p>
        </w:tc>
        <w:tc>
          <w:tcPr>
            <w:tcW w:w="2215" w:type="dxa"/>
            <w:tcBorders>
              <w:left w:val="single" w:color="auto" w:sz="4" w:space="0"/>
              <w:right w:val="single" w:color="auto" w:sz="4" w:space="0"/>
            </w:tcBorders>
            <w:vAlign w:val="center"/>
          </w:tcPr>
          <w:p>
            <w:pPr>
              <w:jc w:val="center"/>
              <w:rPr>
                <w:rFonts w:hint="eastAsia" w:ascii="宋体"/>
                <w:color w:val="auto"/>
                <w:sz w:val="24"/>
                <w:highlight w:val="none"/>
              </w:rPr>
            </w:pPr>
            <w:r>
              <w:rPr>
                <w:rFonts w:hint="eastAsia" w:ascii="宋体"/>
                <w:color w:val="auto"/>
                <w:sz w:val="24"/>
                <w:highlight w:val="none"/>
              </w:rPr>
              <w:t>交货期</w:t>
            </w:r>
          </w:p>
        </w:tc>
        <w:tc>
          <w:tcPr>
            <w:tcW w:w="1879" w:type="dxa"/>
            <w:tcBorders>
              <w:left w:val="single" w:color="auto" w:sz="4" w:space="0"/>
              <w:right w:val="single" w:color="auto" w:sz="4" w:space="0"/>
            </w:tcBorders>
            <w:vAlign w:val="center"/>
          </w:tcPr>
          <w:p>
            <w:pPr>
              <w:rPr>
                <w:rFonts w:ascii="宋体"/>
                <w:color w:val="auto"/>
                <w:sz w:val="24"/>
                <w:highlight w:val="none"/>
              </w:rPr>
            </w:pPr>
          </w:p>
        </w:tc>
        <w:tc>
          <w:tcPr>
            <w:tcW w:w="1537" w:type="dxa"/>
            <w:tcBorders>
              <w:left w:val="single" w:color="auto" w:sz="4" w:space="0"/>
              <w:right w:val="single" w:color="auto" w:sz="4" w:space="0"/>
            </w:tcBorders>
            <w:vAlign w:val="center"/>
          </w:tcPr>
          <w:p>
            <w:pPr>
              <w:rPr>
                <w:rFonts w:ascii="宋体"/>
                <w:color w:val="auto"/>
                <w:sz w:val="24"/>
                <w:highlight w:val="none"/>
              </w:rPr>
            </w:pPr>
          </w:p>
        </w:tc>
        <w:tc>
          <w:tcPr>
            <w:tcW w:w="1150" w:type="dxa"/>
            <w:tcBorders>
              <w:left w:val="single" w:color="auto" w:sz="4" w:space="0"/>
              <w:right w:val="single" w:color="auto" w:sz="4" w:space="0"/>
            </w:tcBorders>
            <w:vAlign w:val="center"/>
          </w:tcPr>
          <w:p>
            <w:pPr>
              <w:rPr>
                <w:rFonts w:ascii="宋体"/>
                <w:color w:val="auto"/>
                <w:sz w:val="24"/>
                <w:highlight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trPr>
        <w:tc>
          <w:tcPr>
            <w:tcW w:w="2215" w:type="dxa"/>
            <w:tcBorders>
              <w:top w:val="single" w:color="auto" w:sz="4" w:space="0"/>
              <w:left w:val="single" w:color="auto" w:sz="4" w:space="0"/>
              <w:bottom w:val="single" w:color="auto" w:sz="4" w:space="0"/>
              <w:right w:val="single" w:color="auto" w:sz="4" w:space="0"/>
            </w:tcBorders>
            <w:vAlign w:val="center"/>
          </w:tcPr>
          <w:p>
            <w:pPr>
              <w:rPr>
                <w:rFonts w:ascii="宋体"/>
                <w:color w:val="auto"/>
                <w:sz w:val="24"/>
                <w:highlight w:val="none"/>
              </w:rPr>
            </w:pPr>
          </w:p>
        </w:tc>
        <w:tc>
          <w:tcPr>
            <w:tcW w:w="2215" w:type="dxa"/>
            <w:tcBorders>
              <w:left w:val="single" w:color="auto" w:sz="4" w:space="0"/>
              <w:right w:val="single" w:color="auto" w:sz="4" w:space="0"/>
            </w:tcBorders>
            <w:vAlign w:val="center"/>
          </w:tcPr>
          <w:p>
            <w:pPr>
              <w:jc w:val="center"/>
              <w:rPr>
                <w:rFonts w:ascii="宋体"/>
                <w:color w:val="auto"/>
                <w:sz w:val="24"/>
                <w:highlight w:val="none"/>
              </w:rPr>
            </w:pPr>
            <w:r>
              <w:rPr>
                <w:rFonts w:hint="eastAsia" w:ascii="宋体"/>
                <w:color w:val="auto"/>
                <w:sz w:val="24"/>
                <w:highlight w:val="none"/>
              </w:rPr>
              <w:t>付款方式</w:t>
            </w:r>
          </w:p>
        </w:tc>
        <w:tc>
          <w:tcPr>
            <w:tcW w:w="1879" w:type="dxa"/>
            <w:tcBorders>
              <w:left w:val="single" w:color="auto" w:sz="4" w:space="0"/>
              <w:right w:val="single" w:color="auto" w:sz="4" w:space="0"/>
            </w:tcBorders>
            <w:vAlign w:val="center"/>
          </w:tcPr>
          <w:p>
            <w:pPr>
              <w:rPr>
                <w:rFonts w:ascii="宋体"/>
                <w:color w:val="auto"/>
                <w:sz w:val="24"/>
                <w:highlight w:val="none"/>
              </w:rPr>
            </w:pPr>
          </w:p>
        </w:tc>
        <w:tc>
          <w:tcPr>
            <w:tcW w:w="1537" w:type="dxa"/>
            <w:tcBorders>
              <w:left w:val="single" w:color="auto" w:sz="4" w:space="0"/>
              <w:right w:val="single" w:color="auto" w:sz="4" w:space="0"/>
            </w:tcBorders>
            <w:vAlign w:val="center"/>
          </w:tcPr>
          <w:p>
            <w:pPr>
              <w:rPr>
                <w:rFonts w:ascii="宋体"/>
                <w:color w:val="auto"/>
                <w:sz w:val="24"/>
                <w:highlight w:val="none"/>
              </w:rPr>
            </w:pPr>
          </w:p>
        </w:tc>
        <w:tc>
          <w:tcPr>
            <w:tcW w:w="1150" w:type="dxa"/>
            <w:tcBorders>
              <w:left w:val="single" w:color="auto" w:sz="4" w:space="0"/>
              <w:right w:val="single" w:color="auto" w:sz="4" w:space="0"/>
            </w:tcBorders>
            <w:vAlign w:val="center"/>
          </w:tcPr>
          <w:p>
            <w:pPr>
              <w:rPr>
                <w:rFonts w:ascii="宋体"/>
                <w:color w:val="auto"/>
                <w:sz w:val="24"/>
                <w:highlight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 w:hRule="atLeast"/>
        </w:trPr>
        <w:tc>
          <w:tcPr>
            <w:tcW w:w="2215" w:type="dxa"/>
            <w:tcBorders>
              <w:top w:val="single" w:color="auto" w:sz="4" w:space="0"/>
              <w:left w:val="single" w:color="auto" w:sz="4" w:space="0"/>
              <w:bottom w:val="single" w:color="auto" w:sz="4" w:space="0"/>
              <w:right w:val="single" w:color="auto" w:sz="4" w:space="0"/>
            </w:tcBorders>
            <w:vAlign w:val="center"/>
          </w:tcPr>
          <w:p>
            <w:pPr>
              <w:rPr>
                <w:rFonts w:ascii="宋体"/>
                <w:color w:val="auto"/>
                <w:sz w:val="24"/>
                <w:highlight w:val="none"/>
              </w:rPr>
            </w:pPr>
          </w:p>
        </w:tc>
        <w:tc>
          <w:tcPr>
            <w:tcW w:w="2215" w:type="dxa"/>
            <w:tcBorders>
              <w:left w:val="single" w:color="auto" w:sz="4" w:space="0"/>
              <w:right w:val="single" w:color="auto" w:sz="4" w:space="0"/>
            </w:tcBorders>
            <w:vAlign w:val="center"/>
          </w:tcPr>
          <w:p>
            <w:pPr>
              <w:jc w:val="center"/>
              <w:rPr>
                <w:rFonts w:ascii="宋体"/>
                <w:color w:val="auto"/>
                <w:sz w:val="24"/>
                <w:highlight w:val="none"/>
              </w:rPr>
            </w:pPr>
          </w:p>
        </w:tc>
        <w:tc>
          <w:tcPr>
            <w:tcW w:w="1879" w:type="dxa"/>
            <w:tcBorders>
              <w:left w:val="single" w:color="auto" w:sz="4" w:space="0"/>
              <w:right w:val="single" w:color="auto" w:sz="4" w:space="0"/>
            </w:tcBorders>
            <w:vAlign w:val="center"/>
          </w:tcPr>
          <w:p>
            <w:pPr>
              <w:rPr>
                <w:rFonts w:ascii="宋体"/>
                <w:color w:val="auto"/>
                <w:sz w:val="24"/>
                <w:highlight w:val="none"/>
              </w:rPr>
            </w:pPr>
          </w:p>
        </w:tc>
        <w:tc>
          <w:tcPr>
            <w:tcW w:w="1537" w:type="dxa"/>
            <w:tcBorders>
              <w:left w:val="single" w:color="auto" w:sz="4" w:space="0"/>
              <w:right w:val="single" w:color="auto" w:sz="4" w:space="0"/>
            </w:tcBorders>
            <w:vAlign w:val="center"/>
          </w:tcPr>
          <w:p>
            <w:pPr>
              <w:rPr>
                <w:rFonts w:ascii="宋体"/>
                <w:color w:val="auto"/>
                <w:sz w:val="24"/>
                <w:highlight w:val="none"/>
              </w:rPr>
            </w:pPr>
          </w:p>
        </w:tc>
        <w:tc>
          <w:tcPr>
            <w:tcW w:w="1150" w:type="dxa"/>
            <w:tcBorders>
              <w:left w:val="single" w:color="auto" w:sz="4" w:space="0"/>
              <w:right w:val="single" w:color="auto" w:sz="4" w:space="0"/>
            </w:tcBorders>
            <w:vAlign w:val="center"/>
          </w:tcPr>
          <w:p>
            <w:pPr>
              <w:rPr>
                <w:rFonts w:ascii="宋体"/>
                <w:color w:val="auto"/>
                <w:sz w:val="24"/>
                <w:highlight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6" w:hRule="atLeast"/>
        </w:trPr>
        <w:tc>
          <w:tcPr>
            <w:tcW w:w="2215" w:type="dxa"/>
            <w:tcBorders>
              <w:top w:val="single" w:color="auto" w:sz="4" w:space="0"/>
              <w:left w:val="single" w:color="auto" w:sz="4" w:space="0"/>
              <w:bottom w:val="single" w:color="auto" w:sz="4" w:space="0"/>
              <w:right w:val="single" w:color="auto" w:sz="4" w:space="0"/>
            </w:tcBorders>
            <w:vAlign w:val="center"/>
          </w:tcPr>
          <w:p>
            <w:pPr>
              <w:rPr>
                <w:rFonts w:ascii="宋体"/>
                <w:color w:val="auto"/>
                <w:sz w:val="24"/>
                <w:highlight w:val="none"/>
              </w:rPr>
            </w:pPr>
          </w:p>
        </w:tc>
        <w:tc>
          <w:tcPr>
            <w:tcW w:w="2215" w:type="dxa"/>
            <w:tcBorders>
              <w:left w:val="single" w:color="auto" w:sz="4" w:space="0"/>
              <w:right w:val="single" w:color="auto" w:sz="4" w:space="0"/>
            </w:tcBorders>
            <w:vAlign w:val="center"/>
          </w:tcPr>
          <w:p>
            <w:pPr>
              <w:jc w:val="center"/>
              <w:rPr>
                <w:rFonts w:ascii="宋体"/>
                <w:color w:val="auto"/>
                <w:sz w:val="24"/>
                <w:highlight w:val="none"/>
              </w:rPr>
            </w:pPr>
            <w:r>
              <w:rPr>
                <w:rFonts w:hint="eastAsia" w:ascii="宋体"/>
                <w:color w:val="auto"/>
                <w:sz w:val="24"/>
                <w:highlight w:val="none"/>
              </w:rPr>
              <w:t>......</w:t>
            </w:r>
          </w:p>
        </w:tc>
        <w:tc>
          <w:tcPr>
            <w:tcW w:w="1879" w:type="dxa"/>
            <w:tcBorders>
              <w:left w:val="single" w:color="auto" w:sz="4" w:space="0"/>
              <w:right w:val="single" w:color="auto" w:sz="4" w:space="0"/>
            </w:tcBorders>
            <w:vAlign w:val="center"/>
          </w:tcPr>
          <w:p>
            <w:pPr>
              <w:rPr>
                <w:rFonts w:ascii="宋体"/>
                <w:color w:val="auto"/>
                <w:sz w:val="24"/>
                <w:highlight w:val="none"/>
              </w:rPr>
            </w:pPr>
          </w:p>
        </w:tc>
        <w:tc>
          <w:tcPr>
            <w:tcW w:w="1537" w:type="dxa"/>
            <w:tcBorders>
              <w:left w:val="single" w:color="auto" w:sz="4" w:space="0"/>
              <w:right w:val="single" w:color="auto" w:sz="4" w:space="0"/>
            </w:tcBorders>
            <w:vAlign w:val="center"/>
          </w:tcPr>
          <w:p>
            <w:pPr>
              <w:rPr>
                <w:rFonts w:ascii="宋体"/>
                <w:color w:val="auto"/>
                <w:sz w:val="24"/>
                <w:highlight w:val="none"/>
              </w:rPr>
            </w:pPr>
          </w:p>
        </w:tc>
        <w:tc>
          <w:tcPr>
            <w:tcW w:w="1150" w:type="dxa"/>
            <w:tcBorders>
              <w:left w:val="single" w:color="auto" w:sz="4" w:space="0"/>
              <w:right w:val="single" w:color="auto" w:sz="4" w:space="0"/>
            </w:tcBorders>
            <w:vAlign w:val="center"/>
          </w:tcPr>
          <w:p>
            <w:pPr>
              <w:rPr>
                <w:rFonts w:ascii="宋体"/>
                <w:color w:val="auto"/>
                <w:sz w:val="24"/>
                <w:highlight w:val="none"/>
              </w:rPr>
            </w:pPr>
          </w:p>
        </w:tc>
      </w:tr>
    </w:tbl>
    <w:p>
      <w:pPr>
        <w:pStyle w:val="60"/>
        <w:rPr>
          <w:color w:val="auto"/>
          <w:highlight w:val="none"/>
        </w:rPr>
      </w:pPr>
    </w:p>
    <w:p>
      <w:pPr>
        <w:spacing w:line="360" w:lineRule="auto"/>
        <w:rPr>
          <w:color w:val="auto"/>
          <w:highlight w:val="none"/>
        </w:rPr>
      </w:pPr>
      <w:r>
        <w:rPr>
          <w:rFonts w:hint="eastAsia" w:ascii="宋体"/>
          <w:color w:val="auto"/>
          <w:sz w:val="24"/>
          <w:highlight w:val="none"/>
        </w:rPr>
        <w:t>投标人名称：</w:t>
      </w:r>
      <w:r>
        <w:rPr>
          <w:rFonts w:ascii="宋体"/>
          <w:color w:val="auto"/>
          <w:sz w:val="24"/>
          <w:highlight w:val="none"/>
        </w:rPr>
        <w:t xml:space="preserve"> </w:t>
      </w:r>
      <w:r>
        <w:rPr>
          <w:color w:val="auto"/>
          <w:sz w:val="24"/>
          <w:highlight w:val="none"/>
        </w:rPr>
        <w:t xml:space="preserve">_____________________ </w:t>
      </w:r>
    </w:p>
    <w:p>
      <w:pPr>
        <w:spacing w:line="440" w:lineRule="exact"/>
        <w:jc w:val="left"/>
        <w:rPr>
          <w:rFonts w:ascii="宋体" w:hAnsi="宋体"/>
          <w:color w:val="auto"/>
          <w:sz w:val="24"/>
          <w:highlight w:val="none"/>
          <w:u w:val="single"/>
        </w:rPr>
      </w:pPr>
      <w:r>
        <w:rPr>
          <w:rFonts w:hint="eastAsia" w:ascii="宋体" w:hAnsi="宋体"/>
          <w:color w:val="auto"/>
          <w:sz w:val="24"/>
          <w:highlight w:val="none"/>
        </w:rPr>
        <w:t>电子签章</w:t>
      </w:r>
      <w:r>
        <w:rPr>
          <w:rFonts w:hint="eastAsia" w:ascii="宋体" w:hAnsi="宋体"/>
          <w:color w:val="auto"/>
          <w:sz w:val="24"/>
          <w:highlight w:val="none"/>
          <w:u w:val="single"/>
        </w:rPr>
        <w:t xml:space="preserve">                     </w:t>
      </w:r>
    </w:p>
    <w:p>
      <w:pPr>
        <w:pStyle w:val="12"/>
        <w:rPr>
          <w:rFonts w:hint="eastAsia" w:ascii="宋体" w:eastAsia="宋体"/>
          <w:b/>
          <w:color w:val="auto"/>
          <w:sz w:val="24"/>
          <w:highlight w:val="none"/>
        </w:rPr>
      </w:pPr>
      <w:r>
        <w:rPr>
          <w:rFonts w:hint="eastAsia" w:ascii="宋体" w:eastAsia="宋体"/>
          <w:b/>
          <w:color w:val="auto"/>
          <w:sz w:val="24"/>
          <w:highlight w:val="none"/>
        </w:rPr>
        <w:t>注：1、投标人必须逐项对应描述投标货物的规格及参数，如不进行描述，仅在响应栏填“响应”或未填写或复制招标文件技术参数的，均可能视为不响应招标文件要求；</w:t>
      </w:r>
    </w:p>
    <w:p>
      <w:pPr>
        <w:pStyle w:val="12"/>
        <w:rPr>
          <w:rFonts w:hint="eastAsia" w:ascii="宋体" w:eastAsia="宋体"/>
          <w:b/>
          <w:color w:val="auto"/>
          <w:sz w:val="24"/>
          <w:highlight w:val="none"/>
        </w:rPr>
      </w:pPr>
      <w:r>
        <w:rPr>
          <w:rFonts w:hint="eastAsia" w:ascii="宋体" w:eastAsia="宋体"/>
          <w:b/>
          <w:color w:val="auto"/>
          <w:sz w:val="24"/>
          <w:highlight w:val="none"/>
        </w:rPr>
        <w:t>2、投标人所投产品如与招标文件要求的规格、参数及配置不一致，则须在上表偏离说明中详细注明。</w:t>
      </w:r>
    </w:p>
    <w:p>
      <w:pPr>
        <w:pStyle w:val="12"/>
        <w:rPr>
          <w:rFonts w:hint="eastAsia" w:ascii="宋体" w:hAnsi="宋体"/>
          <w:b/>
          <w:bCs/>
          <w:color w:val="auto"/>
          <w:sz w:val="28"/>
          <w:szCs w:val="22"/>
          <w:highlight w:val="none"/>
        </w:rPr>
      </w:pPr>
      <w:r>
        <w:rPr>
          <w:rFonts w:hint="eastAsia" w:ascii="宋体" w:eastAsia="宋体"/>
          <w:b/>
          <w:color w:val="auto"/>
          <w:sz w:val="24"/>
          <w:highlight w:val="none"/>
        </w:rPr>
        <w:t>3、响应部分可后附详细说明及技术资料，并应注明投标文件中对应的页码范围。</w:t>
      </w:r>
    </w:p>
    <w:p>
      <w:pPr>
        <w:tabs>
          <w:tab w:val="left" w:pos="2580"/>
          <w:tab w:val="left" w:pos="5940"/>
        </w:tabs>
        <w:autoSpaceDE w:val="0"/>
        <w:autoSpaceDN w:val="0"/>
        <w:adjustRightInd w:val="0"/>
        <w:snapToGrid w:val="0"/>
        <w:spacing w:line="400" w:lineRule="exact"/>
        <w:jc w:val="center"/>
        <w:rPr>
          <w:rFonts w:hint="eastAsia" w:ascii="宋体" w:hAnsi="宋体"/>
          <w:b/>
          <w:bCs/>
          <w:color w:val="auto"/>
          <w:sz w:val="28"/>
          <w:szCs w:val="22"/>
          <w:highlight w:val="none"/>
        </w:rPr>
      </w:pPr>
    </w:p>
    <w:p>
      <w:pPr>
        <w:tabs>
          <w:tab w:val="left" w:pos="2580"/>
          <w:tab w:val="left" w:pos="5940"/>
        </w:tabs>
        <w:autoSpaceDE w:val="0"/>
        <w:autoSpaceDN w:val="0"/>
        <w:adjustRightInd w:val="0"/>
        <w:snapToGrid w:val="0"/>
        <w:spacing w:line="400" w:lineRule="exact"/>
        <w:jc w:val="center"/>
        <w:rPr>
          <w:rFonts w:hint="eastAsia" w:ascii="宋体" w:hAnsi="宋体"/>
          <w:b/>
          <w:bCs/>
          <w:color w:val="auto"/>
          <w:sz w:val="28"/>
          <w:szCs w:val="22"/>
          <w:highlight w:val="none"/>
        </w:rPr>
      </w:pPr>
    </w:p>
    <w:p>
      <w:pPr>
        <w:pStyle w:val="12"/>
        <w:rPr>
          <w:rFonts w:hint="eastAsia" w:ascii="宋体" w:hAnsi="宋体"/>
          <w:b/>
          <w:bCs/>
          <w:color w:val="auto"/>
          <w:sz w:val="28"/>
          <w:szCs w:val="22"/>
          <w:highlight w:val="none"/>
        </w:rPr>
      </w:pPr>
    </w:p>
    <w:p>
      <w:pPr>
        <w:pStyle w:val="12"/>
        <w:rPr>
          <w:rFonts w:hint="eastAsia" w:ascii="宋体" w:hAnsi="宋体"/>
          <w:b/>
          <w:bCs/>
          <w:color w:val="auto"/>
          <w:sz w:val="28"/>
          <w:szCs w:val="22"/>
          <w:highlight w:val="none"/>
        </w:rPr>
      </w:pPr>
    </w:p>
    <w:p>
      <w:pPr>
        <w:pStyle w:val="12"/>
        <w:rPr>
          <w:rFonts w:hint="eastAsia" w:ascii="宋体" w:hAnsi="宋体"/>
          <w:b/>
          <w:bCs/>
          <w:color w:val="auto"/>
          <w:sz w:val="28"/>
          <w:szCs w:val="22"/>
          <w:highlight w:val="none"/>
        </w:rPr>
      </w:pPr>
    </w:p>
    <w:p>
      <w:pPr>
        <w:pStyle w:val="12"/>
        <w:rPr>
          <w:rFonts w:hint="eastAsia" w:ascii="宋体" w:hAnsi="宋体"/>
          <w:b/>
          <w:bCs/>
          <w:color w:val="auto"/>
          <w:sz w:val="28"/>
          <w:szCs w:val="22"/>
          <w:highlight w:val="none"/>
        </w:rPr>
      </w:pPr>
    </w:p>
    <w:p>
      <w:pPr>
        <w:pStyle w:val="12"/>
        <w:rPr>
          <w:rFonts w:hint="eastAsia" w:ascii="宋体" w:hAnsi="宋体"/>
          <w:b/>
          <w:bCs/>
          <w:color w:val="auto"/>
          <w:sz w:val="28"/>
          <w:szCs w:val="22"/>
          <w:highlight w:val="none"/>
        </w:rPr>
      </w:pPr>
    </w:p>
    <w:p>
      <w:pPr>
        <w:pStyle w:val="12"/>
        <w:rPr>
          <w:rFonts w:hint="eastAsia" w:ascii="宋体" w:hAnsi="宋体"/>
          <w:b/>
          <w:bCs/>
          <w:color w:val="auto"/>
          <w:sz w:val="28"/>
          <w:szCs w:val="22"/>
          <w:highlight w:val="none"/>
        </w:rPr>
      </w:pPr>
    </w:p>
    <w:p>
      <w:pPr>
        <w:pStyle w:val="12"/>
        <w:rPr>
          <w:rFonts w:hint="eastAsia" w:ascii="宋体" w:hAnsi="宋体"/>
          <w:b/>
          <w:bCs/>
          <w:color w:val="auto"/>
          <w:sz w:val="28"/>
          <w:szCs w:val="22"/>
          <w:highlight w:val="none"/>
        </w:rPr>
      </w:pPr>
    </w:p>
    <w:p>
      <w:pPr>
        <w:pStyle w:val="12"/>
        <w:rPr>
          <w:rFonts w:hint="eastAsia" w:ascii="宋体" w:hAnsi="宋体"/>
          <w:b/>
          <w:bCs/>
          <w:color w:val="auto"/>
          <w:sz w:val="28"/>
          <w:szCs w:val="22"/>
          <w:highlight w:val="none"/>
        </w:rPr>
      </w:pPr>
    </w:p>
    <w:p>
      <w:pPr>
        <w:pStyle w:val="12"/>
        <w:rPr>
          <w:rFonts w:hint="eastAsia" w:ascii="宋体" w:hAnsi="宋体"/>
          <w:b/>
          <w:bCs/>
          <w:color w:val="auto"/>
          <w:sz w:val="28"/>
          <w:szCs w:val="22"/>
          <w:highlight w:val="none"/>
        </w:rPr>
      </w:pPr>
    </w:p>
    <w:p>
      <w:pPr>
        <w:pStyle w:val="12"/>
        <w:rPr>
          <w:rFonts w:hint="eastAsia" w:ascii="宋体" w:hAnsi="宋体"/>
          <w:b/>
          <w:bCs/>
          <w:color w:val="auto"/>
          <w:sz w:val="28"/>
          <w:szCs w:val="22"/>
          <w:highlight w:val="none"/>
        </w:rPr>
      </w:pPr>
    </w:p>
    <w:p>
      <w:pPr>
        <w:pStyle w:val="12"/>
        <w:rPr>
          <w:rFonts w:hint="eastAsia" w:ascii="宋体" w:hAnsi="宋体"/>
          <w:b/>
          <w:bCs/>
          <w:color w:val="auto"/>
          <w:sz w:val="28"/>
          <w:szCs w:val="22"/>
          <w:highlight w:val="none"/>
        </w:rPr>
      </w:pPr>
    </w:p>
    <w:p>
      <w:pPr>
        <w:pStyle w:val="12"/>
        <w:rPr>
          <w:rFonts w:hint="eastAsia" w:ascii="宋体" w:hAnsi="宋体"/>
          <w:b/>
          <w:bCs/>
          <w:color w:val="auto"/>
          <w:sz w:val="28"/>
          <w:szCs w:val="22"/>
          <w:highlight w:val="none"/>
        </w:rPr>
      </w:pPr>
    </w:p>
    <w:p>
      <w:pPr>
        <w:pStyle w:val="12"/>
        <w:rPr>
          <w:rFonts w:hint="eastAsia" w:ascii="宋体" w:hAnsi="宋体"/>
          <w:b/>
          <w:bCs/>
          <w:color w:val="auto"/>
          <w:sz w:val="28"/>
          <w:szCs w:val="22"/>
          <w:highlight w:val="none"/>
        </w:rPr>
      </w:pPr>
    </w:p>
    <w:p>
      <w:pPr>
        <w:pStyle w:val="12"/>
        <w:rPr>
          <w:rFonts w:hint="eastAsia" w:ascii="宋体" w:hAnsi="宋体"/>
          <w:b/>
          <w:bCs/>
          <w:color w:val="auto"/>
          <w:sz w:val="28"/>
          <w:szCs w:val="22"/>
          <w:highlight w:val="none"/>
        </w:rPr>
      </w:pPr>
    </w:p>
    <w:p>
      <w:pPr>
        <w:pStyle w:val="12"/>
        <w:rPr>
          <w:rFonts w:hint="eastAsia" w:ascii="宋体" w:hAnsi="宋体"/>
          <w:b/>
          <w:bCs/>
          <w:color w:val="auto"/>
          <w:sz w:val="28"/>
          <w:szCs w:val="22"/>
          <w:highlight w:val="none"/>
        </w:rPr>
      </w:pPr>
    </w:p>
    <w:p>
      <w:pPr>
        <w:pStyle w:val="12"/>
        <w:rPr>
          <w:rFonts w:hint="eastAsia" w:ascii="宋体" w:hAnsi="宋体"/>
          <w:b/>
          <w:bCs/>
          <w:color w:val="auto"/>
          <w:sz w:val="28"/>
          <w:szCs w:val="22"/>
          <w:highlight w:val="none"/>
        </w:rPr>
      </w:pPr>
    </w:p>
    <w:p>
      <w:pPr>
        <w:pStyle w:val="12"/>
        <w:rPr>
          <w:rFonts w:hint="eastAsia" w:ascii="宋体" w:hAnsi="宋体"/>
          <w:b/>
          <w:bCs/>
          <w:color w:val="auto"/>
          <w:sz w:val="28"/>
          <w:szCs w:val="22"/>
          <w:highlight w:val="none"/>
        </w:rPr>
      </w:pPr>
    </w:p>
    <w:p>
      <w:pPr>
        <w:pStyle w:val="12"/>
        <w:rPr>
          <w:rFonts w:hint="eastAsia" w:ascii="宋体" w:hAnsi="宋体"/>
          <w:b/>
          <w:bCs/>
          <w:color w:val="auto"/>
          <w:sz w:val="28"/>
          <w:szCs w:val="22"/>
          <w:highlight w:val="none"/>
        </w:rPr>
      </w:pPr>
    </w:p>
    <w:p>
      <w:pPr>
        <w:tabs>
          <w:tab w:val="left" w:pos="2580"/>
          <w:tab w:val="left" w:pos="5940"/>
        </w:tabs>
        <w:autoSpaceDE w:val="0"/>
        <w:autoSpaceDN w:val="0"/>
        <w:adjustRightInd w:val="0"/>
        <w:snapToGrid w:val="0"/>
        <w:spacing w:line="400" w:lineRule="exact"/>
        <w:jc w:val="center"/>
        <w:rPr>
          <w:rFonts w:hint="eastAsia" w:ascii="宋体" w:hAnsi="宋体"/>
          <w:b/>
          <w:bCs/>
          <w:color w:val="auto"/>
          <w:sz w:val="28"/>
          <w:szCs w:val="22"/>
          <w:highlight w:val="none"/>
        </w:rPr>
      </w:pPr>
    </w:p>
    <w:p>
      <w:pPr>
        <w:pStyle w:val="4"/>
        <w:jc w:val="center"/>
        <w:rPr>
          <w:rFonts w:hint="eastAsia"/>
          <w:color w:val="auto"/>
          <w:highlight w:val="none"/>
        </w:rPr>
      </w:pPr>
      <w:r>
        <w:rPr>
          <w:rFonts w:hint="eastAsia" w:cs="Times New Roman"/>
          <w:bCs/>
          <w:color w:val="auto"/>
          <w:highlight w:val="none"/>
          <w:lang w:val="en-US" w:eastAsia="zh-CN"/>
        </w:rPr>
        <w:t>七</w:t>
      </w:r>
      <w:r>
        <w:rPr>
          <w:rFonts w:hint="eastAsia" w:cs="Times New Roman"/>
          <w:bCs/>
          <w:color w:val="auto"/>
          <w:highlight w:val="none"/>
        </w:rPr>
        <w:t>、其他资料</w:t>
      </w:r>
    </w:p>
    <w:p>
      <w:pPr>
        <w:overflowPunct w:val="0"/>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包括但不限于以下内容（内容、格式自定）：</w:t>
      </w:r>
    </w:p>
    <w:p>
      <w:pPr>
        <w:overflowPunct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1. </w:t>
      </w:r>
      <w:r>
        <w:rPr>
          <w:rFonts w:hint="eastAsia" w:ascii="宋体" w:hAnsi="宋体"/>
          <w:color w:val="auto"/>
          <w:szCs w:val="21"/>
          <w:highlight w:val="none"/>
          <w:lang w:eastAsia="zh-CN"/>
        </w:rPr>
        <w:t>供应商</w:t>
      </w:r>
      <w:r>
        <w:rPr>
          <w:rFonts w:hint="eastAsia" w:ascii="宋体" w:hAnsi="宋体"/>
          <w:color w:val="auto"/>
          <w:szCs w:val="21"/>
          <w:highlight w:val="none"/>
        </w:rPr>
        <w:t>单位简介、企业技术装备、人员等情况。</w:t>
      </w:r>
    </w:p>
    <w:p>
      <w:pPr>
        <w:overflowPunct w:val="0"/>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 响应产品生产企业获得的相关认证证书（如有）。</w:t>
      </w:r>
    </w:p>
    <w:p>
      <w:pPr>
        <w:overflowPunct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 生产企业公开发布的印刷资料或技术白皮书（如有）。</w:t>
      </w:r>
    </w:p>
    <w:p>
      <w:pPr>
        <w:overflowPunct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 响应产品的资料样本与产品彩页（如有）。</w:t>
      </w:r>
    </w:p>
    <w:p>
      <w:pPr>
        <w:overflowPunct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5、提供所有响应样品的含外包装照片（如分大包装、小包装，则样品仅需提供小包装照片）及响应样品去除所有包装后的产品实物照片（可分不同角度提供多张照片）。要求照片及相关文字清晰可辩，与样品一致。建议彩色打印/扫描（如有）。</w:t>
      </w:r>
    </w:p>
    <w:p>
      <w:pPr>
        <w:overflowPunct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6. 提供由第三方检验机构出具的响应产品的检验报告。</w:t>
      </w:r>
    </w:p>
    <w:p>
      <w:pPr>
        <w:overflowPunct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7. 响应产品的制造、检验、验收标准。</w:t>
      </w:r>
    </w:p>
    <w:p>
      <w:pPr>
        <w:overflowPunct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8. 供货方案（包括人员配备、本次响应产品的生产、运输、配送计划、验收标准及方法、保证措施等）。</w:t>
      </w:r>
    </w:p>
    <w:p>
      <w:pPr>
        <w:overflowPunct w:val="0"/>
        <w:spacing w:line="44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9. </w:t>
      </w:r>
      <w:r>
        <w:rPr>
          <w:rFonts w:hint="eastAsia" w:ascii="宋体" w:hAnsi="宋体" w:eastAsia="宋体" w:cs="Times New Roman"/>
          <w:color w:val="auto"/>
          <w:szCs w:val="21"/>
          <w:highlight w:val="none"/>
          <w:lang w:eastAsia="zh-CN"/>
        </w:rPr>
        <w:t>供应商</w:t>
      </w:r>
      <w:r>
        <w:rPr>
          <w:rFonts w:hint="eastAsia" w:ascii="宋体" w:hAnsi="宋体" w:eastAsia="宋体" w:cs="Times New Roman"/>
          <w:color w:val="auto"/>
          <w:szCs w:val="21"/>
          <w:highlight w:val="none"/>
        </w:rPr>
        <w:t>认为需要提交的其他材料。</w:t>
      </w:r>
    </w:p>
    <w:p>
      <w:pPr>
        <w:pStyle w:val="12"/>
        <w:rPr>
          <w:color w:val="auto"/>
          <w:highlight w:val="none"/>
        </w:rPr>
      </w:pPr>
    </w:p>
    <w:sectPr>
      <w:footerReference r:id="rId5" w:type="default"/>
      <w:type w:val="continuous"/>
      <w:pgSz w:w="12240" w:h="15840"/>
      <w:pgMar w:top="1440" w:right="1803" w:bottom="1440" w:left="1803"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Fonts w:hint="eastAsia" w:ascii="仿宋_GB2312" w:eastAsia="仿宋_GB2312"/>
      </w:rPr>
    </w:pPr>
    <w:r>
      <w:rPr>
        <w:rFonts w:hint="eastAsia" w:ascii="仿宋_GB2312" w:eastAsia="仿宋_GB2312"/>
      </w:rPr>
      <w:fldChar w:fldCharType="begin"/>
    </w:r>
    <w:r>
      <w:rPr>
        <w:rStyle w:val="31"/>
        <w:rFonts w:hint="eastAsia" w:ascii="仿宋_GB2312" w:eastAsia="仿宋_GB2312"/>
      </w:rPr>
      <w:instrText xml:space="preserve">PAGE  </w:instrText>
    </w:r>
    <w:r>
      <w:rPr>
        <w:rFonts w:hint="eastAsia" w:ascii="仿宋_GB2312" w:eastAsia="仿宋_GB2312"/>
      </w:rPr>
      <w:fldChar w:fldCharType="separate"/>
    </w:r>
    <w:r>
      <w:rPr>
        <w:rStyle w:val="31"/>
        <w:rFonts w:ascii="仿宋_GB2312" w:eastAsia="仿宋_GB2312"/>
      </w:rPr>
      <w:t>7</w:t>
    </w:r>
    <w:r>
      <w:rPr>
        <w:rFonts w:hint="eastAsia" w:ascii="仿宋_GB2312" w:eastAsia="仿宋_GB2312"/>
      </w:rPr>
      <w:fldChar w:fldCharType="end"/>
    </w:r>
  </w:p>
  <w:p>
    <w:pPr>
      <w:pStyle w:val="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fldChar w:fldCharType="begin"/>
    </w:r>
    <w:r>
      <w:rPr>
        <w:rStyle w:val="31"/>
      </w:rPr>
      <w:instrText xml:space="preserve">PAGE  </w:instrText>
    </w:r>
    <w:r>
      <w:fldChar w:fldCharType="separate"/>
    </w:r>
    <w: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134AA"/>
    <w:multiLevelType w:val="singleLevel"/>
    <w:tmpl w:val="945134AA"/>
    <w:lvl w:ilvl="0" w:tentative="0">
      <w:start w:val="6"/>
      <w:numFmt w:val="chineseCounting"/>
      <w:suff w:val="nothing"/>
      <w:lvlText w:val="%1、"/>
      <w:lvlJc w:val="left"/>
      <w:rPr>
        <w:rFonts w:hint="eastAsia"/>
      </w:rPr>
    </w:lvl>
  </w:abstractNum>
  <w:abstractNum w:abstractNumId="1">
    <w:nsid w:val="333C5D4A"/>
    <w:multiLevelType w:val="singleLevel"/>
    <w:tmpl w:val="333C5D4A"/>
    <w:lvl w:ilvl="0" w:tentative="0">
      <w:start w:val="2"/>
      <w:numFmt w:val="chineseCounting"/>
      <w:suff w:val="nothing"/>
      <w:lvlText w:val="%1、"/>
      <w:lvlJc w:val="left"/>
      <w:rPr>
        <w:rFonts w:hint="eastAsia"/>
      </w:rPr>
    </w:lvl>
  </w:abstractNum>
  <w:abstractNum w:abstractNumId="2">
    <w:nsid w:val="54967846"/>
    <w:multiLevelType w:val="singleLevel"/>
    <w:tmpl w:val="54967846"/>
    <w:lvl w:ilvl="0" w:tentative="0">
      <w:start w:val="4"/>
      <w:numFmt w:val="chineseCounting"/>
      <w:suff w:val="space"/>
      <w:lvlText w:val="第%1章"/>
      <w:lvlJc w:val="left"/>
      <w:rPr>
        <w:rFonts w:hint="eastAsia"/>
      </w:rPr>
    </w:lvl>
  </w:abstractNum>
  <w:abstractNum w:abstractNumId="3">
    <w:nsid w:val="7C6B0F46"/>
    <w:multiLevelType w:val="singleLevel"/>
    <w:tmpl w:val="7C6B0F46"/>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 w:name="KSO_WPS_MARK_KEY" w:val="b9a794d2-6989-4333-8d38-bd5c3fbfbe20"/>
  </w:docVars>
  <w:rsids>
    <w:rsidRoot w:val="00172A27"/>
    <w:rsid w:val="00000DA4"/>
    <w:rsid w:val="00002A60"/>
    <w:rsid w:val="00003391"/>
    <w:rsid w:val="00004603"/>
    <w:rsid w:val="000049FE"/>
    <w:rsid w:val="00007319"/>
    <w:rsid w:val="000106AE"/>
    <w:rsid w:val="00010B53"/>
    <w:rsid w:val="0001111F"/>
    <w:rsid w:val="00011B6F"/>
    <w:rsid w:val="00011F85"/>
    <w:rsid w:val="000122C9"/>
    <w:rsid w:val="00012703"/>
    <w:rsid w:val="0001485E"/>
    <w:rsid w:val="00014D4E"/>
    <w:rsid w:val="0002193F"/>
    <w:rsid w:val="00021BFE"/>
    <w:rsid w:val="0002369F"/>
    <w:rsid w:val="000250D6"/>
    <w:rsid w:val="00025ACC"/>
    <w:rsid w:val="00025EC4"/>
    <w:rsid w:val="00026171"/>
    <w:rsid w:val="00027C97"/>
    <w:rsid w:val="000303E1"/>
    <w:rsid w:val="000317DA"/>
    <w:rsid w:val="00033C1C"/>
    <w:rsid w:val="000351AE"/>
    <w:rsid w:val="000352F4"/>
    <w:rsid w:val="00036515"/>
    <w:rsid w:val="00036A67"/>
    <w:rsid w:val="00043778"/>
    <w:rsid w:val="00043A3B"/>
    <w:rsid w:val="000442E6"/>
    <w:rsid w:val="000465F5"/>
    <w:rsid w:val="00046F0D"/>
    <w:rsid w:val="000477B3"/>
    <w:rsid w:val="0004782B"/>
    <w:rsid w:val="00050340"/>
    <w:rsid w:val="00050D09"/>
    <w:rsid w:val="00051718"/>
    <w:rsid w:val="00051E22"/>
    <w:rsid w:val="000533D5"/>
    <w:rsid w:val="00054896"/>
    <w:rsid w:val="00056461"/>
    <w:rsid w:val="00056867"/>
    <w:rsid w:val="00060236"/>
    <w:rsid w:val="00062AC6"/>
    <w:rsid w:val="00062E7E"/>
    <w:rsid w:val="00067035"/>
    <w:rsid w:val="0007092F"/>
    <w:rsid w:val="00071FA8"/>
    <w:rsid w:val="0007517C"/>
    <w:rsid w:val="0008132B"/>
    <w:rsid w:val="00081360"/>
    <w:rsid w:val="0008253E"/>
    <w:rsid w:val="00083B57"/>
    <w:rsid w:val="00083EA3"/>
    <w:rsid w:val="000841EF"/>
    <w:rsid w:val="000846D4"/>
    <w:rsid w:val="00086570"/>
    <w:rsid w:val="000943B0"/>
    <w:rsid w:val="000945DD"/>
    <w:rsid w:val="00094C66"/>
    <w:rsid w:val="00094FFC"/>
    <w:rsid w:val="000956C5"/>
    <w:rsid w:val="0009599B"/>
    <w:rsid w:val="000A1201"/>
    <w:rsid w:val="000A1391"/>
    <w:rsid w:val="000A287B"/>
    <w:rsid w:val="000A2A1A"/>
    <w:rsid w:val="000A5C81"/>
    <w:rsid w:val="000A6F04"/>
    <w:rsid w:val="000A7438"/>
    <w:rsid w:val="000A76B3"/>
    <w:rsid w:val="000B2017"/>
    <w:rsid w:val="000B308D"/>
    <w:rsid w:val="000B37D6"/>
    <w:rsid w:val="000B6297"/>
    <w:rsid w:val="000B65E2"/>
    <w:rsid w:val="000B7A8D"/>
    <w:rsid w:val="000C0018"/>
    <w:rsid w:val="000C00CE"/>
    <w:rsid w:val="000C0819"/>
    <w:rsid w:val="000C1A9B"/>
    <w:rsid w:val="000C2AB5"/>
    <w:rsid w:val="000C4710"/>
    <w:rsid w:val="000C5A9F"/>
    <w:rsid w:val="000D174A"/>
    <w:rsid w:val="000D3A5C"/>
    <w:rsid w:val="000D4336"/>
    <w:rsid w:val="000D49B4"/>
    <w:rsid w:val="000D4E08"/>
    <w:rsid w:val="000D633A"/>
    <w:rsid w:val="000D6BE3"/>
    <w:rsid w:val="000E08CB"/>
    <w:rsid w:val="000E0C9F"/>
    <w:rsid w:val="000E1388"/>
    <w:rsid w:val="000E5673"/>
    <w:rsid w:val="000F2186"/>
    <w:rsid w:val="000F2A12"/>
    <w:rsid w:val="000F2ECC"/>
    <w:rsid w:val="000F50B4"/>
    <w:rsid w:val="000F6666"/>
    <w:rsid w:val="001001A3"/>
    <w:rsid w:val="001011FC"/>
    <w:rsid w:val="00102618"/>
    <w:rsid w:val="00105423"/>
    <w:rsid w:val="00105B4A"/>
    <w:rsid w:val="00107C36"/>
    <w:rsid w:val="001119B6"/>
    <w:rsid w:val="00111D77"/>
    <w:rsid w:val="00114EFC"/>
    <w:rsid w:val="00115124"/>
    <w:rsid w:val="00115848"/>
    <w:rsid w:val="0011701D"/>
    <w:rsid w:val="00117443"/>
    <w:rsid w:val="00117F0F"/>
    <w:rsid w:val="001243AF"/>
    <w:rsid w:val="00126A2D"/>
    <w:rsid w:val="00130D79"/>
    <w:rsid w:val="0013146C"/>
    <w:rsid w:val="001351ED"/>
    <w:rsid w:val="0014098E"/>
    <w:rsid w:val="00143135"/>
    <w:rsid w:val="001528CC"/>
    <w:rsid w:val="001530C6"/>
    <w:rsid w:val="00153B32"/>
    <w:rsid w:val="0015590F"/>
    <w:rsid w:val="0016040A"/>
    <w:rsid w:val="001605AA"/>
    <w:rsid w:val="001613DD"/>
    <w:rsid w:val="001618B1"/>
    <w:rsid w:val="001658EF"/>
    <w:rsid w:val="00166088"/>
    <w:rsid w:val="00172A27"/>
    <w:rsid w:val="001735B4"/>
    <w:rsid w:val="00173EF7"/>
    <w:rsid w:val="001748A3"/>
    <w:rsid w:val="00175F7A"/>
    <w:rsid w:val="00180101"/>
    <w:rsid w:val="00182B11"/>
    <w:rsid w:val="00183B4A"/>
    <w:rsid w:val="00184453"/>
    <w:rsid w:val="00184D80"/>
    <w:rsid w:val="00185763"/>
    <w:rsid w:val="00192979"/>
    <w:rsid w:val="00193C1D"/>
    <w:rsid w:val="00195B7E"/>
    <w:rsid w:val="001964D2"/>
    <w:rsid w:val="00196869"/>
    <w:rsid w:val="0019797B"/>
    <w:rsid w:val="00197AD8"/>
    <w:rsid w:val="001A093D"/>
    <w:rsid w:val="001A0CCF"/>
    <w:rsid w:val="001A1AF1"/>
    <w:rsid w:val="001A2B51"/>
    <w:rsid w:val="001A2E05"/>
    <w:rsid w:val="001A2F7E"/>
    <w:rsid w:val="001A4491"/>
    <w:rsid w:val="001A4684"/>
    <w:rsid w:val="001B10BD"/>
    <w:rsid w:val="001B7FEF"/>
    <w:rsid w:val="001C06B6"/>
    <w:rsid w:val="001C298A"/>
    <w:rsid w:val="001C30C7"/>
    <w:rsid w:val="001C38D5"/>
    <w:rsid w:val="001C3F83"/>
    <w:rsid w:val="001C47DE"/>
    <w:rsid w:val="001C6230"/>
    <w:rsid w:val="001C7366"/>
    <w:rsid w:val="001D055E"/>
    <w:rsid w:val="001D1D28"/>
    <w:rsid w:val="001D4A29"/>
    <w:rsid w:val="001E1433"/>
    <w:rsid w:val="001E2D03"/>
    <w:rsid w:val="001E48A1"/>
    <w:rsid w:val="001E6637"/>
    <w:rsid w:val="001F2208"/>
    <w:rsid w:val="001F4134"/>
    <w:rsid w:val="001F45EE"/>
    <w:rsid w:val="001F4850"/>
    <w:rsid w:val="001F5634"/>
    <w:rsid w:val="001F5A6B"/>
    <w:rsid w:val="00200B25"/>
    <w:rsid w:val="0020220D"/>
    <w:rsid w:val="00204259"/>
    <w:rsid w:val="00204A5C"/>
    <w:rsid w:val="0020605E"/>
    <w:rsid w:val="00206463"/>
    <w:rsid w:val="00207A0B"/>
    <w:rsid w:val="00211842"/>
    <w:rsid w:val="00212A53"/>
    <w:rsid w:val="0021322F"/>
    <w:rsid w:val="00213B90"/>
    <w:rsid w:val="00215765"/>
    <w:rsid w:val="00215AF0"/>
    <w:rsid w:val="00215D24"/>
    <w:rsid w:val="00217AB9"/>
    <w:rsid w:val="0022140E"/>
    <w:rsid w:val="002229E2"/>
    <w:rsid w:val="0022434B"/>
    <w:rsid w:val="002256F6"/>
    <w:rsid w:val="00227E7E"/>
    <w:rsid w:val="00230081"/>
    <w:rsid w:val="00232CDE"/>
    <w:rsid w:val="0023423F"/>
    <w:rsid w:val="002346AC"/>
    <w:rsid w:val="0023579F"/>
    <w:rsid w:val="002360E7"/>
    <w:rsid w:val="00236570"/>
    <w:rsid w:val="00237422"/>
    <w:rsid w:val="00237B0E"/>
    <w:rsid w:val="00240884"/>
    <w:rsid w:val="00241EE0"/>
    <w:rsid w:val="002430C2"/>
    <w:rsid w:val="0024468E"/>
    <w:rsid w:val="00250519"/>
    <w:rsid w:val="00251109"/>
    <w:rsid w:val="00251A49"/>
    <w:rsid w:val="002524EF"/>
    <w:rsid w:val="0025460A"/>
    <w:rsid w:val="00255C9B"/>
    <w:rsid w:val="00255D0D"/>
    <w:rsid w:val="00256F42"/>
    <w:rsid w:val="0026045C"/>
    <w:rsid w:val="00260650"/>
    <w:rsid w:val="00260B7B"/>
    <w:rsid w:val="00260C77"/>
    <w:rsid w:val="00261352"/>
    <w:rsid w:val="002617D5"/>
    <w:rsid w:val="00263947"/>
    <w:rsid w:val="00263F0B"/>
    <w:rsid w:val="00264CEC"/>
    <w:rsid w:val="00264E3B"/>
    <w:rsid w:val="00264EB1"/>
    <w:rsid w:val="0026524D"/>
    <w:rsid w:val="00265A8B"/>
    <w:rsid w:val="002707AB"/>
    <w:rsid w:val="0027148F"/>
    <w:rsid w:val="002718DC"/>
    <w:rsid w:val="002733D4"/>
    <w:rsid w:val="00273E0A"/>
    <w:rsid w:val="002751CF"/>
    <w:rsid w:val="00276C71"/>
    <w:rsid w:val="0027764B"/>
    <w:rsid w:val="00281526"/>
    <w:rsid w:val="00281E0E"/>
    <w:rsid w:val="00282FB1"/>
    <w:rsid w:val="00285406"/>
    <w:rsid w:val="00285F17"/>
    <w:rsid w:val="00286C1A"/>
    <w:rsid w:val="00287666"/>
    <w:rsid w:val="00291BE9"/>
    <w:rsid w:val="0029287A"/>
    <w:rsid w:val="00294405"/>
    <w:rsid w:val="002A1233"/>
    <w:rsid w:val="002A552C"/>
    <w:rsid w:val="002A65ED"/>
    <w:rsid w:val="002B0537"/>
    <w:rsid w:val="002B2D21"/>
    <w:rsid w:val="002B7AC0"/>
    <w:rsid w:val="002C0C29"/>
    <w:rsid w:val="002C4B9C"/>
    <w:rsid w:val="002C51BB"/>
    <w:rsid w:val="002C688F"/>
    <w:rsid w:val="002C7B9B"/>
    <w:rsid w:val="002D2B90"/>
    <w:rsid w:val="002D3451"/>
    <w:rsid w:val="002D458D"/>
    <w:rsid w:val="002D6F32"/>
    <w:rsid w:val="002E0561"/>
    <w:rsid w:val="002E146B"/>
    <w:rsid w:val="002E1DAC"/>
    <w:rsid w:val="002E357F"/>
    <w:rsid w:val="002E37E9"/>
    <w:rsid w:val="002E602B"/>
    <w:rsid w:val="002E6D05"/>
    <w:rsid w:val="002F0F43"/>
    <w:rsid w:val="002F1898"/>
    <w:rsid w:val="002F1EE0"/>
    <w:rsid w:val="002F4E05"/>
    <w:rsid w:val="002F72A0"/>
    <w:rsid w:val="00302940"/>
    <w:rsid w:val="00303961"/>
    <w:rsid w:val="0030445C"/>
    <w:rsid w:val="00305F01"/>
    <w:rsid w:val="00306D86"/>
    <w:rsid w:val="00307657"/>
    <w:rsid w:val="003076D1"/>
    <w:rsid w:val="0031111C"/>
    <w:rsid w:val="00311324"/>
    <w:rsid w:val="00311D51"/>
    <w:rsid w:val="003122C4"/>
    <w:rsid w:val="00312B95"/>
    <w:rsid w:val="00314103"/>
    <w:rsid w:val="003147FA"/>
    <w:rsid w:val="00314C76"/>
    <w:rsid w:val="00316F8B"/>
    <w:rsid w:val="00317712"/>
    <w:rsid w:val="0032031D"/>
    <w:rsid w:val="00320467"/>
    <w:rsid w:val="00321647"/>
    <w:rsid w:val="00321989"/>
    <w:rsid w:val="003243EC"/>
    <w:rsid w:val="003247CD"/>
    <w:rsid w:val="003254CF"/>
    <w:rsid w:val="00330A66"/>
    <w:rsid w:val="00332F9A"/>
    <w:rsid w:val="00335C80"/>
    <w:rsid w:val="003362AD"/>
    <w:rsid w:val="003369D4"/>
    <w:rsid w:val="0033761D"/>
    <w:rsid w:val="00337CAE"/>
    <w:rsid w:val="00341528"/>
    <w:rsid w:val="00342688"/>
    <w:rsid w:val="0034440E"/>
    <w:rsid w:val="003447B0"/>
    <w:rsid w:val="00345CFE"/>
    <w:rsid w:val="003467E6"/>
    <w:rsid w:val="00347899"/>
    <w:rsid w:val="003478BA"/>
    <w:rsid w:val="003518D6"/>
    <w:rsid w:val="003533B0"/>
    <w:rsid w:val="00354B7A"/>
    <w:rsid w:val="00360B10"/>
    <w:rsid w:val="00360D54"/>
    <w:rsid w:val="00361C71"/>
    <w:rsid w:val="0036214F"/>
    <w:rsid w:val="003628CD"/>
    <w:rsid w:val="00363177"/>
    <w:rsid w:val="00363966"/>
    <w:rsid w:val="00365EDA"/>
    <w:rsid w:val="00366867"/>
    <w:rsid w:val="00372BB2"/>
    <w:rsid w:val="00373178"/>
    <w:rsid w:val="00373AAA"/>
    <w:rsid w:val="003741B0"/>
    <w:rsid w:val="00375DD7"/>
    <w:rsid w:val="0038072B"/>
    <w:rsid w:val="0038240C"/>
    <w:rsid w:val="0038359A"/>
    <w:rsid w:val="003839BF"/>
    <w:rsid w:val="0038704D"/>
    <w:rsid w:val="003876BB"/>
    <w:rsid w:val="00387996"/>
    <w:rsid w:val="00390CD0"/>
    <w:rsid w:val="00391F03"/>
    <w:rsid w:val="0039343C"/>
    <w:rsid w:val="003A0068"/>
    <w:rsid w:val="003A2368"/>
    <w:rsid w:val="003A3829"/>
    <w:rsid w:val="003A3F98"/>
    <w:rsid w:val="003A563B"/>
    <w:rsid w:val="003A5B10"/>
    <w:rsid w:val="003A6775"/>
    <w:rsid w:val="003B2B82"/>
    <w:rsid w:val="003B3719"/>
    <w:rsid w:val="003B41C4"/>
    <w:rsid w:val="003B7DD1"/>
    <w:rsid w:val="003C0704"/>
    <w:rsid w:val="003C0D7D"/>
    <w:rsid w:val="003C163E"/>
    <w:rsid w:val="003C3469"/>
    <w:rsid w:val="003C4858"/>
    <w:rsid w:val="003C5BB3"/>
    <w:rsid w:val="003C5EED"/>
    <w:rsid w:val="003C663D"/>
    <w:rsid w:val="003C7688"/>
    <w:rsid w:val="003D1170"/>
    <w:rsid w:val="003D1B8E"/>
    <w:rsid w:val="003D2D72"/>
    <w:rsid w:val="003D36EE"/>
    <w:rsid w:val="003D515C"/>
    <w:rsid w:val="003D6E0A"/>
    <w:rsid w:val="003D6EB6"/>
    <w:rsid w:val="003E114D"/>
    <w:rsid w:val="003E5347"/>
    <w:rsid w:val="003F18FD"/>
    <w:rsid w:val="003F1CDB"/>
    <w:rsid w:val="003F1FBD"/>
    <w:rsid w:val="003F3518"/>
    <w:rsid w:val="003F504F"/>
    <w:rsid w:val="003F5B69"/>
    <w:rsid w:val="004006C9"/>
    <w:rsid w:val="004009FD"/>
    <w:rsid w:val="00403934"/>
    <w:rsid w:val="004062B6"/>
    <w:rsid w:val="004105EF"/>
    <w:rsid w:val="0041115C"/>
    <w:rsid w:val="00411574"/>
    <w:rsid w:val="00412501"/>
    <w:rsid w:val="004125A8"/>
    <w:rsid w:val="004138B6"/>
    <w:rsid w:val="00413A55"/>
    <w:rsid w:val="00415A1A"/>
    <w:rsid w:val="0042017A"/>
    <w:rsid w:val="0042326A"/>
    <w:rsid w:val="00423F96"/>
    <w:rsid w:val="0042619D"/>
    <w:rsid w:val="00427AD3"/>
    <w:rsid w:val="00430583"/>
    <w:rsid w:val="004315A2"/>
    <w:rsid w:val="00431F4F"/>
    <w:rsid w:val="0043351E"/>
    <w:rsid w:val="00433676"/>
    <w:rsid w:val="004343BE"/>
    <w:rsid w:val="00435EFF"/>
    <w:rsid w:val="00436504"/>
    <w:rsid w:val="00436C0E"/>
    <w:rsid w:val="004405C7"/>
    <w:rsid w:val="00441D39"/>
    <w:rsid w:val="0044250A"/>
    <w:rsid w:val="00442AF8"/>
    <w:rsid w:val="00445120"/>
    <w:rsid w:val="0044514A"/>
    <w:rsid w:val="00447E59"/>
    <w:rsid w:val="00450DB7"/>
    <w:rsid w:val="00452F57"/>
    <w:rsid w:val="00455668"/>
    <w:rsid w:val="004575C8"/>
    <w:rsid w:val="004579D9"/>
    <w:rsid w:val="00457DC2"/>
    <w:rsid w:val="0046206C"/>
    <w:rsid w:val="00464927"/>
    <w:rsid w:val="00465378"/>
    <w:rsid w:val="00466A71"/>
    <w:rsid w:val="00466C94"/>
    <w:rsid w:val="00467CC6"/>
    <w:rsid w:val="004733D3"/>
    <w:rsid w:val="0047355E"/>
    <w:rsid w:val="00473597"/>
    <w:rsid w:val="00473AAF"/>
    <w:rsid w:val="0048596D"/>
    <w:rsid w:val="00486461"/>
    <w:rsid w:val="00487315"/>
    <w:rsid w:val="004903F0"/>
    <w:rsid w:val="004910DF"/>
    <w:rsid w:val="00491CF8"/>
    <w:rsid w:val="00493F74"/>
    <w:rsid w:val="00494624"/>
    <w:rsid w:val="00495001"/>
    <w:rsid w:val="004958B6"/>
    <w:rsid w:val="00496A7E"/>
    <w:rsid w:val="00497371"/>
    <w:rsid w:val="004A112E"/>
    <w:rsid w:val="004A197D"/>
    <w:rsid w:val="004A221E"/>
    <w:rsid w:val="004A3F85"/>
    <w:rsid w:val="004A4145"/>
    <w:rsid w:val="004A4276"/>
    <w:rsid w:val="004A43F1"/>
    <w:rsid w:val="004A4A09"/>
    <w:rsid w:val="004A508E"/>
    <w:rsid w:val="004A5FF2"/>
    <w:rsid w:val="004A70D5"/>
    <w:rsid w:val="004A76F2"/>
    <w:rsid w:val="004B220E"/>
    <w:rsid w:val="004B3390"/>
    <w:rsid w:val="004B3B55"/>
    <w:rsid w:val="004B3E29"/>
    <w:rsid w:val="004B51E3"/>
    <w:rsid w:val="004B54E7"/>
    <w:rsid w:val="004B6ED7"/>
    <w:rsid w:val="004C16FA"/>
    <w:rsid w:val="004C3F9A"/>
    <w:rsid w:val="004C5020"/>
    <w:rsid w:val="004D0A15"/>
    <w:rsid w:val="004D0A89"/>
    <w:rsid w:val="004D1209"/>
    <w:rsid w:val="004D1CC7"/>
    <w:rsid w:val="004D1D26"/>
    <w:rsid w:val="004D3A49"/>
    <w:rsid w:val="004D4247"/>
    <w:rsid w:val="004D4F12"/>
    <w:rsid w:val="004D5623"/>
    <w:rsid w:val="004D7237"/>
    <w:rsid w:val="004D794D"/>
    <w:rsid w:val="004D7FCB"/>
    <w:rsid w:val="004E0C05"/>
    <w:rsid w:val="004E15C6"/>
    <w:rsid w:val="004E3473"/>
    <w:rsid w:val="004E54EB"/>
    <w:rsid w:val="004E78F5"/>
    <w:rsid w:val="004F0DB1"/>
    <w:rsid w:val="004F1425"/>
    <w:rsid w:val="004F20F0"/>
    <w:rsid w:val="004F278C"/>
    <w:rsid w:val="004F3309"/>
    <w:rsid w:val="004F39F7"/>
    <w:rsid w:val="005034E3"/>
    <w:rsid w:val="00503AB0"/>
    <w:rsid w:val="0050739A"/>
    <w:rsid w:val="00507F25"/>
    <w:rsid w:val="005100DC"/>
    <w:rsid w:val="00511660"/>
    <w:rsid w:val="00512A0D"/>
    <w:rsid w:val="00513F69"/>
    <w:rsid w:val="0051560B"/>
    <w:rsid w:val="00517A67"/>
    <w:rsid w:val="00517CCE"/>
    <w:rsid w:val="005212F7"/>
    <w:rsid w:val="0052194C"/>
    <w:rsid w:val="005229A0"/>
    <w:rsid w:val="00522D50"/>
    <w:rsid w:val="00524932"/>
    <w:rsid w:val="005251E7"/>
    <w:rsid w:val="00525E12"/>
    <w:rsid w:val="005272C3"/>
    <w:rsid w:val="005275D1"/>
    <w:rsid w:val="00527D92"/>
    <w:rsid w:val="00531AB3"/>
    <w:rsid w:val="00531BAF"/>
    <w:rsid w:val="00535573"/>
    <w:rsid w:val="00537234"/>
    <w:rsid w:val="00537781"/>
    <w:rsid w:val="005409DB"/>
    <w:rsid w:val="00540FB3"/>
    <w:rsid w:val="00542C62"/>
    <w:rsid w:val="00543007"/>
    <w:rsid w:val="00543076"/>
    <w:rsid w:val="00543F5F"/>
    <w:rsid w:val="00545698"/>
    <w:rsid w:val="00546149"/>
    <w:rsid w:val="0054730C"/>
    <w:rsid w:val="00547432"/>
    <w:rsid w:val="0055408A"/>
    <w:rsid w:val="00554AC7"/>
    <w:rsid w:val="00555089"/>
    <w:rsid w:val="005559D5"/>
    <w:rsid w:val="005565F1"/>
    <w:rsid w:val="00562259"/>
    <w:rsid w:val="005655BD"/>
    <w:rsid w:val="00565E6F"/>
    <w:rsid w:val="005661E1"/>
    <w:rsid w:val="00566E24"/>
    <w:rsid w:val="00570D4B"/>
    <w:rsid w:val="00571501"/>
    <w:rsid w:val="005723AB"/>
    <w:rsid w:val="00573B46"/>
    <w:rsid w:val="00573C8F"/>
    <w:rsid w:val="00574404"/>
    <w:rsid w:val="005745E0"/>
    <w:rsid w:val="00574712"/>
    <w:rsid w:val="00574F99"/>
    <w:rsid w:val="005754C4"/>
    <w:rsid w:val="00576B7B"/>
    <w:rsid w:val="00576C5E"/>
    <w:rsid w:val="00577C17"/>
    <w:rsid w:val="005804CC"/>
    <w:rsid w:val="00580957"/>
    <w:rsid w:val="005810F1"/>
    <w:rsid w:val="00581289"/>
    <w:rsid w:val="005817BC"/>
    <w:rsid w:val="005818B8"/>
    <w:rsid w:val="005824FB"/>
    <w:rsid w:val="00585BA6"/>
    <w:rsid w:val="00586955"/>
    <w:rsid w:val="005870EB"/>
    <w:rsid w:val="00587762"/>
    <w:rsid w:val="00592807"/>
    <w:rsid w:val="00592DCF"/>
    <w:rsid w:val="005955BA"/>
    <w:rsid w:val="00595FA0"/>
    <w:rsid w:val="00597C80"/>
    <w:rsid w:val="005A0B59"/>
    <w:rsid w:val="005A1CDE"/>
    <w:rsid w:val="005A212B"/>
    <w:rsid w:val="005A245A"/>
    <w:rsid w:val="005A2853"/>
    <w:rsid w:val="005A2C7B"/>
    <w:rsid w:val="005A3157"/>
    <w:rsid w:val="005A324A"/>
    <w:rsid w:val="005A7856"/>
    <w:rsid w:val="005B0F9A"/>
    <w:rsid w:val="005B1A42"/>
    <w:rsid w:val="005B27B2"/>
    <w:rsid w:val="005B3BBE"/>
    <w:rsid w:val="005B41F9"/>
    <w:rsid w:val="005B4DB1"/>
    <w:rsid w:val="005B53B5"/>
    <w:rsid w:val="005C162E"/>
    <w:rsid w:val="005C3294"/>
    <w:rsid w:val="005C417A"/>
    <w:rsid w:val="005C5030"/>
    <w:rsid w:val="005C54CF"/>
    <w:rsid w:val="005C7CC7"/>
    <w:rsid w:val="005D22FC"/>
    <w:rsid w:val="005D3D41"/>
    <w:rsid w:val="005D736F"/>
    <w:rsid w:val="005E018D"/>
    <w:rsid w:val="005E0827"/>
    <w:rsid w:val="005E15D1"/>
    <w:rsid w:val="005E4F70"/>
    <w:rsid w:val="005E52D1"/>
    <w:rsid w:val="005E6CD5"/>
    <w:rsid w:val="005E7962"/>
    <w:rsid w:val="005E7CE8"/>
    <w:rsid w:val="005E7EC7"/>
    <w:rsid w:val="005F162E"/>
    <w:rsid w:val="005F16C3"/>
    <w:rsid w:val="005F1B58"/>
    <w:rsid w:val="005F328B"/>
    <w:rsid w:val="005F3D2C"/>
    <w:rsid w:val="005F74F3"/>
    <w:rsid w:val="006041C3"/>
    <w:rsid w:val="006052FC"/>
    <w:rsid w:val="00605403"/>
    <w:rsid w:val="00605A28"/>
    <w:rsid w:val="00607629"/>
    <w:rsid w:val="00610BBF"/>
    <w:rsid w:val="006127AC"/>
    <w:rsid w:val="00613672"/>
    <w:rsid w:val="00613FB5"/>
    <w:rsid w:val="00614E98"/>
    <w:rsid w:val="00614EBD"/>
    <w:rsid w:val="006178D6"/>
    <w:rsid w:val="00620B9C"/>
    <w:rsid w:val="0062295C"/>
    <w:rsid w:val="0062323D"/>
    <w:rsid w:val="00623AD2"/>
    <w:rsid w:val="00623F73"/>
    <w:rsid w:val="006240AB"/>
    <w:rsid w:val="00627446"/>
    <w:rsid w:val="006300EA"/>
    <w:rsid w:val="00632B51"/>
    <w:rsid w:val="00633021"/>
    <w:rsid w:val="0063584F"/>
    <w:rsid w:val="00636962"/>
    <w:rsid w:val="00637781"/>
    <w:rsid w:val="00641920"/>
    <w:rsid w:val="00643B4D"/>
    <w:rsid w:val="00644C71"/>
    <w:rsid w:val="006462FA"/>
    <w:rsid w:val="006512A9"/>
    <w:rsid w:val="00651D65"/>
    <w:rsid w:val="00653F33"/>
    <w:rsid w:val="0065401F"/>
    <w:rsid w:val="00654756"/>
    <w:rsid w:val="0065767F"/>
    <w:rsid w:val="00660EBB"/>
    <w:rsid w:val="0066206B"/>
    <w:rsid w:val="00663CC5"/>
    <w:rsid w:val="00667942"/>
    <w:rsid w:val="00670660"/>
    <w:rsid w:val="006811B0"/>
    <w:rsid w:val="0068471E"/>
    <w:rsid w:val="00684D69"/>
    <w:rsid w:val="006857AD"/>
    <w:rsid w:val="00686AF3"/>
    <w:rsid w:val="00691F97"/>
    <w:rsid w:val="006928F3"/>
    <w:rsid w:val="00692DCA"/>
    <w:rsid w:val="006952F5"/>
    <w:rsid w:val="006A2E04"/>
    <w:rsid w:val="006A2F51"/>
    <w:rsid w:val="006A350C"/>
    <w:rsid w:val="006A5596"/>
    <w:rsid w:val="006B15E6"/>
    <w:rsid w:val="006B2167"/>
    <w:rsid w:val="006B229A"/>
    <w:rsid w:val="006B268E"/>
    <w:rsid w:val="006B317B"/>
    <w:rsid w:val="006B4620"/>
    <w:rsid w:val="006B58FD"/>
    <w:rsid w:val="006C05AD"/>
    <w:rsid w:val="006C1B42"/>
    <w:rsid w:val="006C2F62"/>
    <w:rsid w:val="006C45C7"/>
    <w:rsid w:val="006C5495"/>
    <w:rsid w:val="006C56C9"/>
    <w:rsid w:val="006D05E4"/>
    <w:rsid w:val="006D144F"/>
    <w:rsid w:val="006D4C52"/>
    <w:rsid w:val="006D567B"/>
    <w:rsid w:val="006D6D79"/>
    <w:rsid w:val="006E0B76"/>
    <w:rsid w:val="006E1A78"/>
    <w:rsid w:val="006E1CF0"/>
    <w:rsid w:val="006E2EB3"/>
    <w:rsid w:val="006E3EAB"/>
    <w:rsid w:val="006E4938"/>
    <w:rsid w:val="006E521B"/>
    <w:rsid w:val="006E5AC6"/>
    <w:rsid w:val="006E7789"/>
    <w:rsid w:val="006F2BB0"/>
    <w:rsid w:val="006F2EC0"/>
    <w:rsid w:val="006F30B4"/>
    <w:rsid w:val="006F3939"/>
    <w:rsid w:val="006F4607"/>
    <w:rsid w:val="006F46C3"/>
    <w:rsid w:val="006F5FB8"/>
    <w:rsid w:val="006F6CD6"/>
    <w:rsid w:val="006F6E12"/>
    <w:rsid w:val="00700762"/>
    <w:rsid w:val="00701A84"/>
    <w:rsid w:val="00705859"/>
    <w:rsid w:val="007058F5"/>
    <w:rsid w:val="00706041"/>
    <w:rsid w:val="00710D6C"/>
    <w:rsid w:val="00710D93"/>
    <w:rsid w:val="007123AF"/>
    <w:rsid w:val="00712A96"/>
    <w:rsid w:val="00716EE4"/>
    <w:rsid w:val="00721056"/>
    <w:rsid w:val="00722CDE"/>
    <w:rsid w:val="00722E71"/>
    <w:rsid w:val="00723AEF"/>
    <w:rsid w:val="00725C94"/>
    <w:rsid w:val="00725F00"/>
    <w:rsid w:val="00726A6C"/>
    <w:rsid w:val="00726B23"/>
    <w:rsid w:val="00726C76"/>
    <w:rsid w:val="00726DB7"/>
    <w:rsid w:val="00727E29"/>
    <w:rsid w:val="0073232D"/>
    <w:rsid w:val="00733083"/>
    <w:rsid w:val="007356EB"/>
    <w:rsid w:val="00735916"/>
    <w:rsid w:val="00740AE9"/>
    <w:rsid w:val="00742B21"/>
    <w:rsid w:val="00744517"/>
    <w:rsid w:val="007476CC"/>
    <w:rsid w:val="00750137"/>
    <w:rsid w:val="0075115C"/>
    <w:rsid w:val="007516C9"/>
    <w:rsid w:val="00752100"/>
    <w:rsid w:val="007538E9"/>
    <w:rsid w:val="00753921"/>
    <w:rsid w:val="00755157"/>
    <w:rsid w:val="007569B0"/>
    <w:rsid w:val="007604C3"/>
    <w:rsid w:val="0076115D"/>
    <w:rsid w:val="00762C99"/>
    <w:rsid w:val="00766147"/>
    <w:rsid w:val="00766DD4"/>
    <w:rsid w:val="00767CF8"/>
    <w:rsid w:val="00770518"/>
    <w:rsid w:val="00770C01"/>
    <w:rsid w:val="00771522"/>
    <w:rsid w:val="00772282"/>
    <w:rsid w:val="0077236D"/>
    <w:rsid w:val="007724D2"/>
    <w:rsid w:val="00772E30"/>
    <w:rsid w:val="00774C3B"/>
    <w:rsid w:val="007769FC"/>
    <w:rsid w:val="00780470"/>
    <w:rsid w:val="0078343C"/>
    <w:rsid w:val="0078582F"/>
    <w:rsid w:val="00787834"/>
    <w:rsid w:val="00790A94"/>
    <w:rsid w:val="007911B2"/>
    <w:rsid w:val="00797ACE"/>
    <w:rsid w:val="007A08F7"/>
    <w:rsid w:val="007A1E5B"/>
    <w:rsid w:val="007A27B2"/>
    <w:rsid w:val="007A3441"/>
    <w:rsid w:val="007A36C9"/>
    <w:rsid w:val="007A3C01"/>
    <w:rsid w:val="007A5188"/>
    <w:rsid w:val="007A6247"/>
    <w:rsid w:val="007A6512"/>
    <w:rsid w:val="007A67FD"/>
    <w:rsid w:val="007B0A87"/>
    <w:rsid w:val="007B2210"/>
    <w:rsid w:val="007B300E"/>
    <w:rsid w:val="007B3D71"/>
    <w:rsid w:val="007B5213"/>
    <w:rsid w:val="007B7DDF"/>
    <w:rsid w:val="007C292F"/>
    <w:rsid w:val="007C2AB0"/>
    <w:rsid w:val="007C3124"/>
    <w:rsid w:val="007C5B73"/>
    <w:rsid w:val="007C5DF5"/>
    <w:rsid w:val="007D07A2"/>
    <w:rsid w:val="007D16DC"/>
    <w:rsid w:val="007D29C2"/>
    <w:rsid w:val="007D36E9"/>
    <w:rsid w:val="007D3AAE"/>
    <w:rsid w:val="007D4C26"/>
    <w:rsid w:val="007D5CBB"/>
    <w:rsid w:val="007D6572"/>
    <w:rsid w:val="007D6983"/>
    <w:rsid w:val="007E0563"/>
    <w:rsid w:val="007E1033"/>
    <w:rsid w:val="007E1153"/>
    <w:rsid w:val="007E129F"/>
    <w:rsid w:val="007E1F8D"/>
    <w:rsid w:val="007E6590"/>
    <w:rsid w:val="007E6F41"/>
    <w:rsid w:val="007E78FD"/>
    <w:rsid w:val="007F24FF"/>
    <w:rsid w:val="007F2D92"/>
    <w:rsid w:val="007F33A5"/>
    <w:rsid w:val="007F61D6"/>
    <w:rsid w:val="007F67B4"/>
    <w:rsid w:val="007F6A96"/>
    <w:rsid w:val="008009B4"/>
    <w:rsid w:val="008016DA"/>
    <w:rsid w:val="00801CAA"/>
    <w:rsid w:val="00802B3E"/>
    <w:rsid w:val="00803D1B"/>
    <w:rsid w:val="00804854"/>
    <w:rsid w:val="00805A2D"/>
    <w:rsid w:val="00805D01"/>
    <w:rsid w:val="00810606"/>
    <w:rsid w:val="00812D3A"/>
    <w:rsid w:val="008149E0"/>
    <w:rsid w:val="00814ACE"/>
    <w:rsid w:val="008208F6"/>
    <w:rsid w:val="00822B05"/>
    <w:rsid w:val="00823971"/>
    <w:rsid w:val="00825115"/>
    <w:rsid w:val="00825C0C"/>
    <w:rsid w:val="008261CA"/>
    <w:rsid w:val="00826534"/>
    <w:rsid w:val="00826C28"/>
    <w:rsid w:val="00827909"/>
    <w:rsid w:val="00833E5B"/>
    <w:rsid w:val="00833F8A"/>
    <w:rsid w:val="00834CBD"/>
    <w:rsid w:val="00835A0A"/>
    <w:rsid w:val="00835FA3"/>
    <w:rsid w:val="00836AA3"/>
    <w:rsid w:val="00836FCA"/>
    <w:rsid w:val="00842D0A"/>
    <w:rsid w:val="00843663"/>
    <w:rsid w:val="0084602F"/>
    <w:rsid w:val="00846D74"/>
    <w:rsid w:val="00847755"/>
    <w:rsid w:val="00851FB3"/>
    <w:rsid w:val="0085267C"/>
    <w:rsid w:val="0085280B"/>
    <w:rsid w:val="008567AE"/>
    <w:rsid w:val="008602E0"/>
    <w:rsid w:val="0086119A"/>
    <w:rsid w:val="00862274"/>
    <w:rsid w:val="008625DD"/>
    <w:rsid w:val="008631FE"/>
    <w:rsid w:val="008634A5"/>
    <w:rsid w:val="008656EF"/>
    <w:rsid w:val="008657D0"/>
    <w:rsid w:val="00865A18"/>
    <w:rsid w:val="00873670"/>
    <w:rsid w:val="00877B50"/>
    <w:rsid w:val="00880196"/>
    <w:rsid w:val="00880C4E"/>
    <w:rsid w:val="00883C18"/>
    <w:rsid w:val="00884003"/>
    <w:rsid w:val="00884568"/>
    <w:rsid w:val="00886D39"/>
    <w:rsid w:val="00891335"/>
    <w:rsid w:val="00893F10"/>
    <w:rsid w:val="008A0C4A"/>
    <w:rsid w:val="008A3781"/>
    <w:rsid w:val="008A4C9A"/>
    <w:rsid w:val="008A4F8A"/>
    <w:rsid w:val="008A55DC"/>
    <w:rsid w:val="008A6176"/>
    <w:rsid w:val="008A6265"/>
    <w:rsid w:val="008A6F43"/>
    <w:rsid w:val="008B0843"/>
    <w:rsid w:val="008B178C"/>
    <w:rsid w:val="008B256A"/>
    <w:rsid w:val="008B4537"/>
    <w:rsid w:val="008B4958"/>
    <w:rsid w:val="008B50BC"/>
    <w:rsid w:val="008B5F19"/>
    <w:rsid w:val="008B6D39"/>
    <w:rsid w:val="008C0F7D"/>
    <w:rsid w:val="008C11DF"/>
    <w:rsid w:val="008C1A6B"/>
    <w:rsid w:val="008C3C6E"/>
    <w:rsid w:val="008C4D93"/>
    <w:rsid w:val="008C5746"/>
    <w:rsid w:val="008C7711"/>
    <w:rsid w:val="008D03E3"/>
    <w:rsid w:val="008D085E"/>
    <w:rsid w:val="008D0EA5"/>
    <w:rsid w:val="008D185A"/>
    <w:rsid w:val="008D1879"/>
    <w:rsid w:val="008D2226"/>
    <w:rsid w:val="008D2B4F"/>
    <w:rsid w:val="008D34AF"/>
    <w:rsid w:val="008D51B7"/>
    <w:rsid w:val="008E0AE1"/>
    <w:rsid w:val="008E2CA5"/>
    <w:rsid w:val="008E3370"/>
    <w:rsid w:val="008E3A41"/>
    <w:rsid w:val="008E40E6"/>
    <w:rsid w:val="008F1666"/>
    <w:rsid w:val="008F25E1"/>
    <w:rsid w:val="008F2DB6"/>
    <w:rsid w:val="008F45C3"/>
    <w:rsid w:val="008F54C0"/>
    <w:rsid w:val="008F78BF"/>
    <w:rsid w:val="0090152F"/>
    <w:rsid w:val="00901B60"/>
    <w:rsid w:val="0090314C"/>
    <w:rsid w:val="009035B3"/>
    <w:rsid w:val="009045DE"/>
    <w:rsid w:val="00905830"/>
    <w:rsid w:val="00905AE6"/>
    <w:rsid w:val="00907E84"/>
    <w:rsid w:val="009102B1"/>
    <w:rsid w:val="0091348F"/>
    <w:rsid w:val="00913849"/>
    <w:rsid w:val="00913DA9"/>
    <w:rsid w:val="009143D6"/>
    <w:rsid w:val="0091575A"/>
    <w:rsid w:val="00915BD0"/>
    <w:rsid w:val="00915FD5"/>
    <w:rsid w:val="009165B6"/>
    <w:rsid w:val="00916B19"/>
    <w:rsid w:val="0091764F"/>
    <w:rsid w:val="00920176"/>
    <w:rsid w:val="00922D1D"/>
    <w:rsid w:val="00925712"/>
    <w:rsid w:val="0092577B"/>
    <w:rsid w:val="00926486"/>
    <w:rsid w:val="00926831"/>
    <w:rsid w:val="009303A2"/>
    <w:rsid w:val="00937163"/>
    <w:rsid w:val="00940482"/>
    <w:rsid w:val="00942FF5"/>
    <w:rsid w:val="00943B39"/>
    <w:rsid w:val="00943F58"/>
    <w:rsid w:val="0094443B"/>
    <w:rsid w:val="00946950"/>
    <w:rsid w:val="0094784E"/>
    <w:rsid w:val="00947882"/>
    <w:rsid w:val="0094793B"/>
    <w:rsid w:val="00953A9D"/>
    <w:rsid w:val="00953E62"/>
    <w:rsid w:val="009550FC"/>
    <w:rsid w:val="00956336"/>
    <w:rsid w:val="0095755C"/>
    <w:rsid w:val="00957C87"/>
    <w:rsid w:val="00961404"/>
    <w:rsid w:val="0096197F"/>
    <w:rsid w:val="00962079"/>
    <w:rsid w:val="0096341D"/>
    <w:rsid w:val="00964108"/>
    <w:rsid w:val="00964882"/>
    <w:rsid w:val="009678EF"/>
    <w:rsid w:val="009702C0"/>
    <w:rsid w:val="00972737"/>
    <w:rsid w:val="00972D10"/>
    <w:rsid w:val="00974E85"/>
    <w:rsid w:val="00975526"/>
    <w:rsid w:val="00976894"/>
    <w:rsid w:val="009773DB"/>
    <w:rsid w:val="00977F6D"/>
    <w:rsid w:val="0098013A"/>
    <w:rsid w:val="0098095B"/>
    <w:rsid w:val="00980CE5"/>
    <w:rsid w:val="00981293"/>
    <w:rsid w:val="009816BB"/>
    <w:rsid w:val="00982B42"/>
    <w:rsid w:val="00984168"/>
    <w:rsid w:val="0098473F"/>
    <w:rsid w:val="00986130"/>
    <w:rsid w:val="009875FE"/>
    <w:rsid w:val="00987946"/>
    <w:rsid w:val="00990C32"/>
    <w:rsid w:val="009914DB"/>
    <w:rsid w:val="00991717"/>
    <w:rsid w:val="009918C4"/>
    <w:rsid w:val="00993DD3"/>
    <w:rsid w:val="00993FD3"/>
    <w:rsid w:val="00996086"/>
    <w:rsid w:val="00996A73"/>
    <w:rsid w:val="00997308"/>
    <w:rsid w:val="0099765D"/>
    <w:rsid w:val="009A04D2"/>
    <w:rsid w:val="009A04D7"/>
    <w:rsid w:val="009A21F7"/>
    <w:rsid w:val="009A6828"/>
    <w:rsid w:val="009A72CB"/>
    <w:rsid w:val="009B0025"/>
    <w:rsid w:val="009B115E"/>
    <w:rsid w:val="009B1C5F"/>
    <w:rsid w:val="009B4909"/>
    <w:rsid w:val="009B499F"/>
    <w:rsid w:val="009B54E6"/>
    <w:rsid w:val="009B63E1"/>
    <w:rsid w:val="009B754A"/>
    <w:rsid w:val="009C221B"/>
    <w:rsid w:val="009C310C"/>
    <w:rsid w:val="009C3C41"/>
    <w:rsid w:val="009C42F0"/>
    <w:rsid w:val="009C5D2B"/>
    <w:rsid w:val="009C6B99"/>
    <w:rsid w:val="009C748E"/>
    <w:rsid w:val="009D0A6C"/>
    <w:rsid w:val="009D25BB"/>
    <w:rsid w:val="009D34B8"/>
    <w:rsid w:val="009D45AC"/>
    <w:rsid w:val="009D7C16"/>
    <w:rsid w:val="009E280D"/>
    <w:rsid w:val="009E28AB"/>
    <w:rsid w:val="009E2AE4"/>
    <w:rsid w:val="009E3F33"/>
    <w:rsid w:val="009E454B"/>
    <w:rsid w:val="009E62C3"/>
    <w:rsid w:val="009E77CE"/>
    <w:rsid w:val="009E7E61"/>
    <w:rsid w:val="009F0C48"/>
    <w:rsid w:val="009F1AC6"/>
    <w:rsid w:val="009F2126"/>
    <w:rsid w:val="009F3D52"/>
    <w:rsid w:val="009F4263"/>
    <w:rsid w:val="009F46DE"/>
    <w:rsid w:val="009F5B29"/>
    <w:rsid w:val="009F7053"/>
    <w:rsid w:val="009F7D47"/>
    <w:rsid w:val="009F7DC0"/>
    <w:rsid w:val="00A00218"/>
    <w:rsid w:val="00A01041"/>
    <w:rsid w:val="00A013E6"/>
    <w:rsid w:val="00A01431"/>
    <w:rsid w:val="00A02955"/>
    <w:rsid w:val="00A03B6C"/>
    <w:rsid w:val="00A059CF"/>
    <w:rsid w:val="00A12026"/>
    <w:rsid w:val="00A12434"/>
    <w:rsid w:val="00A12938"/>
    <w:rsid w:val="00A131B2"/>
    <w:rsid w:val="00A14792"/>
    <w:rsid w:val="00A161A9"/>
    <w:rsid w:val="00A20C87"/>
    <w:rsid w:val="00A214E6"/>
    <w:rsid w:val="00A22806"/>
    <w:rsid w:val="00A229B2"/>
    <w:rsid w:val="00A22A71"/>
    <w:rsid w:val="00A236AA"/>
    <w:rsid w:val="00A239C4"/>
    <w:rsid w:val="00A24AE5"/>
    <w:rsid w:val="00A257C6"/>
    <w:rsid w:val="00A27AD2"/>
    <w:rsid w:val="00A31FBE"/>
    <w:rsid w:val="00A32AD4"/>
    <w:rsid w:val="00A32B42"/>
    <w:rsid w:val="00A340CE"/>
    <w:rsid w:val="00A36636"/>
    <w:rsid w:val="00A41924"/>
    <w:rsid w:val="00A422AD"/>
    <w:rsid w:val="00A434EB"/>
    <w:rsid w:val="00A443E0"/>
    <w:rsid w:val="00A47CE5"/>
    <w:rsid w:val="00A50EF9"/>
    <w:rsid w:val="00A51D94"/>
    <w:rsid w:val="00A51DD3"/>
    <w:rsid w:val="00A540AC"/>
    <w:rsid w:val="00A55022"/>
    <w:rsid w:val="00A567AD"/>
    <w:rsid w:val="00A56829"/>
    <w:rsid w:val="00A61B79"/>
    <w:rsid w:val="00A64355"/>
    <w:rsid w:val="00A64CFB"/>
    <w:rsid w:val="00A660F9"/>
    <w:rsid w:val="00A67F0D"/>
    <w:rsid w:val="00A703A6"/>
    <w:rsid w:val="00A7108D"/>
    <w:rsid w:val="00A71821"/>
    <w:rsid w:val="00A7377F"/>
    <w:rsid w:val="00A7425C"/>
    <w:rsid w:val="00A744AE"/>
    <w:rsid w:val="00A75AAB"/>
    <w:rsid w:val="00A77C2A"/>
    <w:rsid w:val="00A811E4"/>
    <w:rsid w:val="00A8366F"/>
    <w:rsid w:val="00A83ACD"/>
    <w:rsid w:val="00A86BC1"/>
    <w:rsid w:val="00A87F39"/>
    <w:rsid w:val="00A909F4"/>
    <w:rsid w:val="00A90FFC"/>
    <w:rsid w:val="00A925B0"/>
    <w:rsid w:val="00A92FF7"/>
    <w:rsid w:val="00A939E3"/>
    <w:rsid w:val="00A93CEE"/>
    <w:rsid w:val="00A94F22"/>
    <w:rsid w:val="00A95B52"/>
    <w:rsid w:val="00A95DBF"/>
    <w:rsid w:val="00A97ECB"/>
    <w:rsid w:val="00AA3B58"/>
    <w:rsid w:val="00AA5687"/>
    <w:rsid w:val="00AA77E6"/>
    <w:rsid w:val="00AB22FD"/>
    <w:rsid w:val="00AB249C"/>
    <w:rsid w:val="00AB3057"/>
    <w:rsid w:val="00AB3141"/>
    <w:rsid w:val="00AB5EF7"/>
    <w:rsid w:val="00AB609D"/>
    <w:rsid w:val="00AB66B8"/>
    <w:rsid w:val="00AC188E"/>
    <w:rsid w:val="00AC2268"/>
    <w:rsid w:val="00AC27AF"/>
    <w:rsid w:val="00AC2FEB"/>
    <w:rsid w:val="00AC3AA9"/>
    <w:rsid w:val="00AC7102"/>
    <w:rsid w:val="00AC7AA8"/>
    <w:rsid w:val="00AD14E9"/>
    <w:rsid w:val="00AD38CD"/>
    <w:rsid w:val="00AD75D8"/>
    <w:rsid w:val="00AD7CAC"/>
    <w:rsid w:val="00AD7DE4"/>
    <w:rsid w:val="00AE3D01"/>
    <w:rsid w:val="00AE4FC4"/>
    <w:rsid w:val="00AE5260"/>
    <w:rsid w:val="00AE5CF7"/>
    <w:rsid w:val="00AE5F5F"/>
    <w:rsid w:val="00AE5F7F"/>
    <w:rsid w:val="00AE67B6"/>
    <w:rsid w:val="00AF079D"/>
    <w:rsid w:val="00AF08A4"/>
    <w:rsid w:val="00AF3442"/>
    <w:rsid w:val="00AF49A0"/>
    <w:rsid w:val="00AF5D13"/>
    <w:rsid w:val="00AF6684"/>
    <w:rsid w:val="00AF761E"/>
    <w:rsid w:val="00AF7CFA"/>
    <w:rsid w:val="00B0084E"/>
    <w:rsid w:val="00B021E1"/>
    <w:rsid w:val="00B039FE"/>
    <w:rsid w:val="00B05EB7"/>
    <w:rsid w:val="00B06344"/>
    <w:rsid w:val="00B0641E"/>
    <w:rsid w:val="00B071B2"/>
    <w:rsid w:val="00B078A6"/>
    <w:rsid w:val="00B10813"/>
    <w:rsid w:val="00B10F34"/>
    <w:rsid w:val="00B1435B"/>
    <w:rsid w:val="00B14DE9"/>
    <w:rsid w:val="00B17226"/>
    <w:rsid w:val="00B1739F"/>
    <w:rsid w:val="00B20435"/>
    <w:rsid w:val="00B2193F"/>
    <w:rsid w:val="00B21D21"/>
    <w:rsid w:val="00B26215"/>
    <w:rsid w:val="00B2664C"/>
    <w:rsid w:val="00B30D0B"/>
    <w:rsid w:val="00B329C0"/>
    <w:rsid w:val="00B333E0"/>
    <w:rsid w:val="00B34169"/>
    <w:rsid w:val="00B35DAF"/>
    <w:rsid w:val="00B37B25"/>
    <w:rsid w:val="00B40DB4"/>
    <w:rsid w:val="00B42EA6"/>
    <w:rsid w:val="00B43529"/>
    <w:rsid w:val="00B441A3"/>
    <w:rsid w:val="00B45828"/>
    <w:rsid w:val="00B459E6"/>
    <w:rsid w:val="00B4788F"/>
    <w:rsid w:val="00B51807"/>
    <w:rsid w:val="00B51D11"/>
    <w:rsid w:val="00B52304"/>
    <w:rsid w:val="00B52E59"/>
    <w:rsid w:val="00B537AA"/>
    <w:rsid w:val="00B54871"/>
    <w:rsid w:val="00B54BEC"/>
    <w:rsid w:val="00B5661B"/>
    <w:rsid w:val="00B568D1"/>
    <w:rsid w:val="00B56F9E"/>
    <w:rsid w:val="00B5771D"/>
    <w:rsid w:val="00B6040F"/>
    <w:rsid w:val="00B60D18"/>
    <w:rsid w:val="00B62BF7"/>
    <w:rsid w:val="00B704DC"/>
    <w:rsid w:val="00B70AB4"/>
    <w:rsid w:val="00B7681D"/>
    <w:rsid w:val="00B770F9"/>
    <w:rsid w:val="00B8223C"/>
    <w:rsid w:val="00B82CF7"/>
    <w:rsid w:val="00B82E6C"/>
    <w:rsid w:val="00B83E5B"/>
    <w:rsid w:val="00B840FF"/>
    <w:rsid w:val="00B8418F"/>
    <w:rsid w:val="00B850F5"/>
    <w:rsid w:val="00B85BB5"/>
    <w:rsid w:val="00B85D28"/>
    <w:rsid w:val="00B923D8"/>
    <w:rsid w:val="00B924CB"/>
    <w:rsid w:val="00B9671E"/>
    <w:rsid w:val="00BA0BF9"/>
    <w:rsid w:val="00BA1742"/>
    <w:rsid w:val="00BA6A1E"/>
    <w:rsid w:val="00BA779B"/>
    <w:rsid w:val="00BB14E3"/>
    <w:rsid w:val="00BB2113"/>
    <w:rsid w:val="00BB4F87"/>
    <w:rsid w:val="00BB6955"/>
    <w:rsid w:val="00BB7076"/>
    <w:rsid w:val="00BC08DE"/>
    <w:rsid w:val="00BC15E9"/>
    <w:rsid w:val="00BC295A"/>
    <w:rsid w:val="00BC31D7"/>
    <w:rsid w:val="00BC5A19"/>
    <w:rsid w:val="00BC7BDB"/>
    <w:rsid w:val="00BC7D06"/>
    <w:rsid w:val="00BD02D1"/>
    <w:rsid w:val="00BD0888"/>
    <w:rsid w:val="00BD2382"/>
    <w:rsid w:val="00BD38A7"/>
    <w:rsid w:val="00BD4CB1"/>
    <w:rsid w:val="00BD5685"/>
    <w:rsid w:val="00BD58EC"/>
    <w:rsid w:val="00BD6426"/>
    <w:rsid w:val="00BD6C5E"/>
    <w:rsid w:val="00BD7122"/>
    <w:rsid w:val="00BD7B28"/>
    <w:rsid w:val="00BE0E4E"/>
    <w:rsid w:val="00BE11CE"/>
    <w:rsid w:val="00BE1F7A"/>
    <w:rsid w:val="00BE53BD"/>
    <w:rsid w:val="00BE5AE9"/>
    <w:rsid w:val="00BE619B"/>
    <w:rsid w:val="00BE7431"/>
    <w:rsid w:val="00BE782B"/>
    <w:rsid w:val="00BF004A"/>
    <w:rsid w:val="00BF1472"/>
    <w:rsid w:val="00BF1F32"/>
    <w:rsid w:val="00BF208A"/>
    <w:rsid w:val="00BF2F72"/>
    <w:rsid w:val="00BF3E51"/>
    <w:rsid w:val="00BF4366"/>
    <w:rsid w:val="00BF495E"/>
    <w:rsid w:val="00BF5015"/>
    <w:rsid w:val="00BF7CA8"/>
    <w:rsid w:val="00BF7F5D"/>
    <w:rsid w:val="00C000E6"/>
    <w:rsid w:val="00C0041F"/>
    <w:rsid w:val="00C03B29"/>
    <w:rsid w:val="00C0439B"/>
    <w:rsid w:val="00C070F9"/>
    <w:rsid w:val="00C075E0"/>
    <w:rsid w:val="00C10A53"/>
    <w:rsid w:val="00C11B1A"/>
    <w:rsid w:val="00C13846"/>
    <w:rsid w:val="00C1558A"/>
    <w:rsid w:val="00C16B44"/>
    <w:rsid w:val="00C16E65"/>
    <w:rsid w:val="00C249BE"/>
    <w:rsid w:val="00C24B4C"/>
    <w:rsid w:val="00C26C1D"/>
    <w:rsid w:val="00C409F2"/>
    <w:rsid w:val="00C40EFF"/>
    <w:rsid w:val="00C42564"/>
    <w:rsid w:val="00C426BD"/>
    <w:rsid w:val="00C43613"/>
    <w:rsid w:val="00C46458"/>
    <w:rsid w:val="00C50F27"/>
    <w:rsid w:val="00C561A1"/>
    <w:rsid w:val="00C57185"/>
    <w:rsid w:val="00C576DE"/>
    <w:rsid w:val="00C57C2D"/>
    <w:rsid w:val="00C601F8"/>
    <w:rsid w:val="00C60374"/>
    <w:rsid w:val="00C61701"/>
    <w:rsid w:val="00C65F10"/>
    <w:rsid w:val="00C674CF"/>
    <w:rsid w:val="00C705FA"/>
    <w:rsid w:val="00C70EEE"/>
    <w:rsid w:val="00C72E0F"/>
    <w:rsid w:val="00C73001"/>
    <w:rsid w:val="00C74CE6"/>
    <w:rsid w:val="00C750F1"/>
    <w:rsid w:val="00C75D0D"/>
    <w:rsid w:val="00C767F3"/>
    <w:rsid w:val="00C77592"/>
    <w:rsid w:val="00C775F0"/>
    <w:rsid w:val="00C77A9D"/>
    <w:rsid w:val="00C77D07"/>
    <w:rsid w:val="00C826A9"/>
    <w:rsid w:val="00C8459E"/>
    <w:rsid w:val="00C86BCB"/>
    <w:rsid w:val="00C920FA"/>
    <w:rsid w:val="00C9220E"/>
    <w:rsid w:val="00C9312C"/>
    <w:rsid w:val="00C93C64"/>
    <w:rsid w:val="00C959F6"/>
    <w:rsid w:val="00C97B27"/>
    <w:rsid w:val="00CA54D2"/>
    <w:rsid w:val="00CA69C5"/>
    <w:rsid w:val="00CB2000"/>
    <w:rsid w:val="00CB2555"/>
    <w:rsid w:val="00CB3D5A"/>
    <w:rsid w:val="00CB621C"/>
    <w:rsid w:val="00CB7057"/>
    <w:rsid w:val="00CC02F2"/>
    <w:rsid w:val="00CC13CF"/>
    <w:rsid w:val="00CC2DBD"/>
    <w:rsid w:val="00CC33AC"/>
    <w:rsid w:val="00CC39D0"/>
    <w:rsid w:val="00CC3A27"/>
    <w:rsid w:val="00CC444E"/>
    <w:rsid w:val="00CC69FA"/>
    <w:rsid w:val="00CC6B34"/>
    <w:rsid w:val="00CC7127"/>
    <w:rsid w:val="00CD09B4"/>
    <w:rsid w:val="00CD239D"/>
    <w:rsid w:val="00CD6EE8"/>
    <w:rsid w:val="00CD7773"/>
    <w:rsid w:val="00CE1024"/>
    <w:rsid w:val="00CE2312"/>
    <w:rsid w:val="00CE5339"/>
    <w:rsid w:val="00CE691B"/>
    <w:rsid w:val="00CE7437"/>
    <w:rsid w:val="00CE78B9"/>
    <w:rsid w:val="00CF02C2"/>
    <w:rsid w:val="00CF0BA0"/>
    <w:rsid w:val="00CF2EEF"/>
    <w:rsid w:val="00CF464F"/>
    <w:rsid w:val="00CF48A1"/>
    <w:rsid w:val="00CF5CD9"/>
    <w:rsid w:val="00CF67F1"/>
    <w:rsid w:val="00D004DE"/>
    <w:rsid w:val="00D01E73"/>
    <w:rsid w:val="00D029A4"/>
    <w:rsid w:val="00D030F7"/>
    <w:rsid w:val="00D0314D"/>
    <w:rsid w:val="00D05F0E"/>
    <w:rsid w:val="00D06A95"/>
    <w:rsid w:val="00D06AAE"/>
    <w:rsid w:val="00D0778D"/>
    <w:rsid w:val="00D1313E"/>
    <w:rsid w:val="00D13DA8"/>
    <w:rsid w:val="00D16244"/>
    <w:rsid w:val="00D1676A"/>
    <w:rsid w:val="00D21084"/>
    <w:rsid w:val="00D223B2"/>
    <w:rsid w:val="00D2261E"/>
    <w:rsid w:val="00D2503E"/>
    <w:rsid w:val="00D2665C"/>
    <w:rsid w:val="00D267E9"/>
    <w:rsid w:val="00D31A22"/>
    <w:rsid w:val="00D31D83"/>
    <w:rsid w:val="00D31F8A"/>
    <w:rsid w:val="00D32CD6"/>
    <w:rsid w:val="00D33E6D"/>
    <w:rsid w:val="00D355AF"/>
    <w:rsid w:val="00D36CF7"/>
    <w:rsid w:val="00D37677"/>
    <w:rsid w:val="00D41566"/>
    <w:rsid w:val="00D4185E"/>
    <w:rsid w:val="00D41F1D"/>
    <w:rsid w:val="00D424F4"/>
    <w:rsid w:val="00D448A6"/>
    <w:rsid w:val="00D50E3E"/>
    <w:rsid w:val="00D515BB"/>
    <w:rsid w:val="00D548EC"/>
    <w:rsid w:val="00D56913"/>
    <w:rsid w:val="00D6062B"/>
    <w:rsid w:val="00D6138B"/>
    <w:rsid w:val="00D61E00"/>
    <w:rsid w:val="00D637DD"/>
    <w:rsid w:val="00D63F5A"/>
    <w:rsid w:val="00D66BE2"/>
    <w:rsid w:val="00D704B3"/>
    <w:rsid w:val="00D70B9C"/>
    <w:rsid w:val="00D71AF2"/>
    <w:rsid w:val="00D73671"/>
    <w:rsid w:val="00D74914"/>
    <w:rsid w:val="00D74C71"/>
    <w:rsid w:val="00D76110"/>
    <w:rsid w:val="00D765FC"/>
    <w:rsid w:val="00D77428"/>
    <w:rsid w:val="00D77EC9"/>
    <w:rsid w:val="00D81DC0"/>
    <w:rsid w:val="00D8264B"/>
    <w:rsid w:val="00D9028D"/>
    <w:rsid w:val="00D91F21"/>
    <w:rsid w:val="00D935CD"/>
    <w:rsid w:val="00D94273"/>
    <w:rsid w:val="00D944A0"/>
    <w:rsid w:val="00D946E9"/>
    <w:rsid w:val="00D965A8"/>
    <w:rsid w:val="00DA1173"/>
    <w:rsid w:val="00DA365A"/>
    <w:rsid w:val="00DA5F06"/>
    <w:rsid w:val="00DA7EB6"/>
    <w:rsid w:val="00DB01EA"/>
    <w:rsid w:val="00DB1008"/>
    <w:rsid w:val="00DB2502"/>
    <w:rsid w:val="00DB45CC"/>
    <w:rsid w:val="00DB6D11"/>
    <w:rsid w:val="00DB7E41"/>
    <w:rsid w:val="00DC06AC"/>
    <w:rsid w:val="00DC110A"/>
    <w:rsid w:val="00DC1BF6"/>
    <w:rsid w:val="00DC2FDC"/>
    <w:rsid w:val="00DC3A4D"/>
    <w:rsid w:val="00DC4A9B"/>
    <w:rsid w:val="00DC4FA6"/>
    <w:rsid w:val="00DC500F"/>
    <w:rsid w:val="00DC76AE"/>
    <w:rsid w:val="00DD230C"/>
    <w:rsid w:val="00DD2358"/>
    <w:rsid w:val="00DD447E"/>
    <w:rsid w:val="00DD4719"/>
    <w:rsid w:val="00DD6937"/>
    <w:rsid w:val="00DD6E5B"/>
    <w:rsid w:val="00DD727F"/>
    <w:rsid w:val="00DD7398"/>
    <w:rsid w:val="00DD7997"/>
    <w:rsid w:val="00DE0520"/>
    <w:rsid w:val="00DE0C34"/>
    <w:rsid w:val="00DE2DF3"/>
    <w:rsid w:val="00DE3B31"/>
    <w:rsid w:val="00DE3BA7"/>
    <w:rsid w:val="00DE5384"/>
    <w:rsid w:val="00DE6AB5"/>
    <w:rsid w:val="00DE7014"/>
    <w:rsid w:val="00DE75DA"/>
    <w:rsid w:val="00DE79C5"/>
    <w:rsid w:val="00DF18EC"/>
    <w:rsid w:val="00DF19C0"/>
    <w:rsid w:val="00DF52FA"/>
    <w:rsid w:val="00DF57EF"/>
    <w:rsid w:val="00DF5F3C"/>
    <w:rsid w:val="00DF667F"/>
    <w:rsid w:val="00DF6C28"/>
    <w:rsid w:val="00E00AB8"/>
    <w:rsid w:val="00E00B48"/>
    <w:rsid w:val="00E0130E"/>
    <w:rsid w:val="00E01675"/>
    <w:rsid w:val="00E02B31"/>
    <w:rsid w:val="00E030EE"/>
    <w:rsid w:val="00E07CC4"/>
    <w:rsid w:val="00E108C3"/>
    <w:rsid w:val="00E11664"/>
    <w:rsid w:val="00E11F03"/>
    <w:rsid w:val="00E120B6"/>
    <w:rsid w:val="00E120B9"/>
    <w:rsid w:val="00E124D0"/>
    <w:rsid w:val="00E13758"/>
    <w:rsid w:val="00E1381E"/>
    <w:rsid w:val="00E148F3"/>
    <w:rsid w:val="00E1515F"/>
    <w:rsid w:val="00E151DA"/>
    <w:rsid w:val="00E15382"/>
    <w:rsid w:val="00E207BE"/>
    <w:rsid w:val="00E20944"/>
    <w:rsid w:val="00E2203F"/>
    <w:rsid w:val="00E238A2"/>
    <w:rsid w:val="00E23BBB"/>
    <w:rsid w:val="00E24F54"/>
    <w:rsid w:val="00E26404"/>
    <w:rsid w:val="00E3243B"/>
    <w:rsid w:val="00E32FD8"/>
    <w:rsid w:val="00E335D8"/>
    <w:rsid w:val="00E33707"/>
    <w:rsid w:val="00E34005"/>
    <w:rsid w:val="00E3521D"/>
    <w:rsid w:val="00E35248"/>
    <w:rsid w:val="00E3663F"/>
    <w:rsid w:val="00E367AE"/>
    <w:rsid w:val="00E37606"/>
    <w:rsid w:val="00E413AB"/>
    <w:rsid w:val="00E43274"/>
    <w:rsid w:val="00E44892"/>
    <w:rsid w:val="00E4665E"/>
    <w:rsid w:val="00E47E75"/>
    <w:rsid w:val="00E52B86"/>
    <w:rsid w:val="00E53F38"/>
    <w:rsid w:val="00E54910"/>
    <w:rsid w:val="00E55FB4"/>
    <w:rsid w:val="00E561C6"/>
    <w:rsid w:val="00E613E4"/>
    <w:rsid w:val="00E64E71"/>
    <w:rsid w:val="00E650E4"/>
    <w:rsid w:val="00E67EC0"/>
    <w:rsid w:val="00E7090F"/>
    <w:rsid w:val="00E73E35"/>
    <w:rsid w:val="00E756D1"/>
    <w:rsid w:val="00E80597"/>
    <w:rsid w:val="00E807BA"/>
    <w:rsid w:val="00E80962"/>
    <w:rsid w:val="00E80F7E"/>
    <w:rsid w:val="00E8164C"/>
    <w:rsid w:val="00E82B5F"/>
    <w:rsid w:val="00E830A6"/>
    <w:rsid w:val="00E83556"/>
    <w:rsid w:val="00E83F3E"/>
    <w:rsid w:val="00E857DA"/>
    <w:rsid w:val="00E908C3"/>
    <w:rsid w:val="00E90D94"/>
    <w:rsid w:val="00E90E76"/>
    <w:rsid w:val="00E91EF3"/>
    <w:rsid w:val="00E93173"/>
    <w:rsid w:val="00E95194"/>
    <w:rsid w:val="00E96F65"/>
    <w:rsid w:val="00EA066E"/>
    <w:rsid w:val="00EA0F8F"/>
    <w:rsid w:val="00EA5BBB"/>
    <w:rsid w:val="00EA7A53"/>
    <w:rsid w:val="00EB06FA"/>
    <w:rsid w:val="00EB0789"/>
    <w:rsid w:val="00EB08C4"/>
    <w:rsid w:val="00EB10A7"/>
    <w:rsid w:val="00EB2328"/>
    <w:rsid w:val="00EB48A2"/>
    <w:rsid w:val="00EB49BC"/>
    <w:rsid w:val="00EB6085"/>
    <w:rsid w:val="00EB6DE7"/>
    <w:rsid w:val="00EB6FB6"/>
    <w:rsid w:val="00EB71F5"/>
    <w:rsid w:val="00EC0FC6"/>
    <w:rsid w:val="00EC197C"/>
    <w:rsid w:val="00EC5F1A"/>
    <w:rsid w:val="00ED4442"/>
    <w:rsid w:val="00ED574F"/>
    <w:rsid w:val="00ED694A"/>
    <w:rsid w:val="00ED76D9"/>
    <w:rsid w:val="00ED77F1"/>
    <w:rsid w:val="00EE19B3"/>
    <w:rsid w:val="00EE2372"/>
    <w:rsid w:val="00EE3343"/>
    <w:rsid w:val="00EF0DF0"/>
    <w:rsid w:val="00EF1559"/>
    <w:rsid w:val="00EF3E61"/>
    <w:rsid w:val="00EF64D9"/>
    <w:rsid w:val="00F0398D"/>
    <w:rsid w:val="00F0434D"/>
    <w:rsid w:val="00F0449C"/>
    <w:rsid w:val="00F060A4"/>
    <w:rsid w:val="00F06124"/>
    <w:rsid w:val="00F07523"/>
    <w:rsid w:val="00F1269D"/>
    <w:rsid w:val="00F132D8"/>
    <w:rsid w:val="00F16B10"/>
    <w:rsid w:val="00F20BFD"/>
    <w:rsid w:val="00F21810"/>
    <w:rsid w:val="00F222D2"/>
    <w:rsid w:val="00F231AB"/>
    <w:rsid w:val="00F2375D"/>
    <w:rsid w:val="00F23C81"/>
    <w:rsid w:val="00F2489F"/>
    <w:rsid w:val="00F24BB1"/>
    <w:rsid w:val="00F2618E"/>
    <w:rsid w:val="00F27B29"/>
    <w:rsid w:val="00F304EE"/>
    <w:rsid w:val="00F31887"/>
    <w:rsid w:val="00F35671"/>
    <w:rsid w:val="00F3592B"/>
    <w:rsid w:val="00F366CF"/>
    <w:rsid w:val="00F366DA"/>
    <w:rsid w:val="00F400C4"/>
    <w:rsid w:val="00F40A43"/>
    <w:rsid w:val="00F40F15"/>
    <w:rsid w:val="00F41539"/>
    <w:rsid w:val="00F41E90"/>
    <w:rsid w:val="00F44906"/>
    <w:rsid w:val="00F463F0"/>
    <w:rsid w:val="00F46B42"/>
    <w:rsid w:val="00F4710F"/>
    <w:rsid w:val="00F50429"/>
    <w:rsid w:val="00F505B2"/>
    <w:rsid w:val="00F53A81"/>
    <w:rsid w:val="00F53E1D"/>
    <w:rsid w:val="00F5434E"/>
    <w:rsid w:val="00F57750"/>
    <w:rsid w:val="00F57D8D"/>
    <w:rsid w:val="00F60D82"/>
    <w:rsid w:val="00F60E88"/>
    <w:rsid w:val="00F60EA7"/>
    <w:rsid w:val="00F617B7"/>
    <w:rsid w:val="00F62BE1"/>
    <w:rsid w:val="00F62DA5"/>
    <w:rsid w:val="00F641A4"/>
    <w:rsid w:val="00F70724"/>
    <w:rsid w:val="00F73B29"/>
    <w:rsid w:val="00F757F6"/>
    <w:rsid w:val="00F75E84"/>
    <w:rsid w:val="00F7655D"/>
    <w:rsid w:val="00F76827"/>
    <w:rsid w:val="00F823B7"/>
    <w:rsid w:val="00F82B69"/>
    <w:rsid w:val="00F8331E"/>
    <w:rsid w:val="00F84984"/>
    <w:rsid w:val="00F84A95"/>
    <w:rsid w:val="00F85193"/>
    <w:rsid w:val="00F85296"/>
    <w:rsid w:val="00F86321"/>
    <w:rsid w:val="00F90437"/>
    <w:rsid w:val="00F91188"/>
    <w:rsid w:val="00F911C5"/>
    <w:rsid w:val="00F928A1"/>
    <w:rsid w:val="00F94B1A"/>
    <w:rsid w:val="00F94D75"/>
    <w:rsid w:val="00F9546C"/>
    <w:rsid w:val="00F96738"/>
    <w:rsid w:val="00F96CF9"/>
    <w:rsid w:val="00F97B72"/>
    <w:rsid w:val="00FA10A8"/>
    <w:rsid w:val="00FA1427"/>
    <w:rsid w:val="00FA45BA"/>
    <w:rsid w:val="00FA4B03"/>
    <w:rsid w:val="00FA5296"/>
    <w:rsid w:val="00FA6F2E"/>
    <w:rsid w:val="00FB1F93"/>
    <w:rsid w:val="00FB48DF"/>
    <w:rsid w:val="00FB4F3E"/>
    <w:rsid w:val="00FB5972"/>
    <w:rsid w:val="00FB632F"/>
    <w:rsid w:val="00FC07D0"/>
    <w:rsid w:val="00FC3256"/>
    <w:rsid w:val="00FC3BAF"/>
    <w:rsid w:val="00FC5824"/>
    <w:rsid w:val="00FC5D22"/>
    <w:rsid w:val="00FC741D"/>
    <w:rsid w:val="00FD01BA"/>
    <w:rsid w:val="00FD0CA5"/>
    <w:rsid w:val="00FD4012"/>
    <w:rsid w:val="00FD5854"/>
    <w:rsid w:val="00FD713D"/>
    <w:rsid w:val="00FE20F3"/>
    <w:rsid w:val="00FE3F6F"/>
    <w:rsid w:val="00FE3FC8"/>
    <w:rsid w:val="00FE4D45"/>
    <w:rsid w:val="00FE5F0C"/>
    <w:rsid w:val="00FF4F25"/>
    <w:rsid w:val="00FF5079"/>
    <w:rsid w:val="00FF50FB"/>
    <w:rsid w:val="00FF6B57"/>
    <w:rsid w:val="01262A4D"/>
    <w:rsid w:val="0161650D"/>
    <w:rsid w:val="016D1684"/>
    <w:rsid w:val="01B04500"/>
    <w:rsid w:val="01B31E16"/>
    <w:rsid w:val="01C80B6C"/>
    <w:rsid w:val="01D04E93"/>
    <w:rsid w:val="01D7158D"/>
    <w:rsid w:val="01D8699E"/>
    <w:rsid w:val="01DC52B1"/>
    <w:rsid w:val="01EE746E"/>
    <w:rsid w:val="02017DCB"/>
    <w:rsid w:val="022B1E95"/>
    <w:rsid w:val="0256197E"/>
    <w:rsid w:val="026F1FE6"/>
    <w:rsid w:val="027B7754"/>
    <w:rsid w:val="02D84F28"/>
    <w:rsid w:val="03115012"/>
    <w:rsid w:val="03262267"/>
    <w:rsid w:val="033B490A"/>
    <w:rsid w:val="03794AF6"/>
    <w:rsid w:val="039D3BE2"/>
    <w:rsid w:val="03B965CA"/>
    <w:rsid w:val="03D32B17"/>
    <w:rsid w:val="03D64FF9"/>
    <w:rsid w:val="03DF51D8"/>
    <w:rsid w:val="03E46A7F"/>
    <w:rsid w:val="03F30799"/>
    <w:rsid w:val="04245CC6"/>
    <w:rsid w:val="0432090D"/>
    <w:rsid w:val="04475648"/>
    <w:rsid w:val="04506807"/>
    <w:rsid w:val="04714F72"/>
    <w:rsid w:val="04736200"/>
    <w:rsid w:val="047550DB"/>
    <w:rsid w:val="0480214A"/>
    <w:rsid w:val="0484318E"/>
    <w:rsid w:val="0489140E"/>
    <w:rsid w:val="049D2F26"/>
    <w:rsid w:val="04B0361E"/>
    <w:rsid w:val="04EB11FE"/>
    <w:rsid w:val="04EE1776"/>
    <w:rsid w:val="051B544B"/>
    <w:rsid w:val="053640B5"/>
    <w:rsid w:val="05486A95"/>
    <w:rsid w:val="054A3552"/>
    <w:rsid w:val="055744EA"/>
    <w:rsid w:val="055F06CF"/>
    <w:rsid w:val="05A2203A"/>
    <w:rsid w:val="05C757C1"/>
    <w:rsid w:val="05E41D15"/>
    <w:rsid w:val="05FD14D7"/>
    <w:rsid w:val="06211E21"/>
    <w:rsid w:val="063F2AE5"/>
    <w:rsid w:val="066D4CE1"/>
    <w:rsid w:val="067B477F"/>
    <w:rsid w:val="067E2EB5"/>
    <w:rsid w:val="068C498F"/>
    <w:rsid w:val="06D53BB9"/>
    <w:rsid w:val="06E74A42"/>
    <w:rsid w:val="06E83C5E"/>
    <w:rsid w:val="07031F83"/>
    <w:rsid w:val="07395993"/>
    <w:rsid w:val="073F25B6"/>
    <w:rsid w:val="07477166"/>
    <w:rsid w:val="07504230"/>
    <w:rsid w:val="078253F5"/>
    <w:rsid w:val="0788312F"/>
    <w:rsid w:val="07A2518C"/>
    <w:rsid w:val="07A357FE"/>
    <w:rsid w:val="07C70A58"/>
    <w:rsid w:val="080169B3"/>
    <w:rsid w:val="08207AF6"/>
    <w:rsid w:val="082779ED"/>
    <w:rsid w:val="085F2844"/>
    <w:rsid w:val="08705E11"/>
    <w:rsid w:val="088A0411"/>
    <w:rsid w:val="08914E9E"/>
    <w:rsid w:val="08B00A92"/>
    <w:rsid w:val="08C33C1A"/>
    <w:rsid w:val="08C74F07"/>
    <w:rsid w:val="08CC1E8E"/>
    <w:rsid w:val="09010D19"/>
    <w:rsid w:val="09431C6A"/>
    <w:rsid w:val="094927F4"/>
    <w:rsid w:val="095728A7"/>
    <w:rsid w:val="097A15A5"/>
    <w:rsid w:val="097B69AA"/>
    <w:rsid w:val="0A01649D"/>
    <w:rsid w:val="0A1B2F95"/>
    <w:rsid w:val="0A323123"/>
    <w:rsid w:val="0A332498"/>
    <w:rsid w:val="0A404975"/>
    <w:rsid w:val="0A447109"/>
    <w:rsid w:val="0A600A2A"/>
    <w:rsid w:val="0A6157BC"/>
    <w:rsid w:val="0A870ACB"/>
    <w:rsid w:val="0A8A634D"/>
    <w:rsid w:val="0A93098D"/>
    <w:rsid w:val="0A9F23E7"/>
    <w:rsid w:val="0ABC6CD0"/>
    <w:rsid w:val="0AFB6637"/>
    <w:rsid w:val="0B0B71FB"/>
    <w:rsid w:val="0B1D6FB2"/>
    <w:rsid w:val="0B2C5826"/>
    <w:rsid w:val="0B5770F6"/>
    <w:rsid w:val="0B7A1E23"/>
    <w:rsid w:val="0BAE519C"/>
    <w:rsid w:val="0BC71450"/>
    <w:rsid w:val="0BC86BCC"/>
    <w:rsid w:val="0BD3774E"/>
    <w:rsid w:val="0BE923B6"/>
    <w:rsid w:val="0BFD0227"/>
    <w:rsid w:val="0C0A5D32"/>
    <w:rsid w:val="0C3C1AF2"/>
    <w:rsid w:val="0C3D1EB8"/>
    <w:rsid w:val="0C490150"/>
    <w:rsid w:val="0C4C7806"/>
    <w:rsid w:val="0C555206"/>
    <w:rsid w:val="0CA60F8C"/>
    <w:rsid w:val="0CAA54C3"/>
    <w:rsid w:val="0CB3607A"/>
    <w:rsid w:val="0CE210A5"/>
    <w:rsid w:val="0CF4794F"/>
    <w:rsid w:val="0CFB5904"/>
    <w:rsid w:val="0D28396F"/>
    <w:rsid w:val="0D462C02"/>
    <w:rsid w:val="0D4865F8"/>
    <w:rsid w:val="0D5E4110"/>
    <w:rsid w:val="0D634E45"/>
    <w:rsid w:val="0D9E1D82"/>
    <w:rsid w:val="0DCD4866"/>
    <w:rsid w:val="0DF00FC3"/>
    <w:rsid w:val="0E1E0E21"/>
    <w:rsid w:val="0E3746E5"/>
    <w:rsid w:val="0E3A25E6"/>
    <w:rsid w:val="0E487F11"/>
    <w:rsid w:val="0E5E4C01"/>
    <w:rsid w:val="0E75179E"/>
    <w:rsid w:val="0E764519"/>
    <w:rsid w:val="0E8148E9"/>
    <w:rsid w:val="0E8479EF"/>
    <w:rsid w:val="0EA04BBD"/>
    <w:rsid w:val="0EA66AFA"/>
    <w:rsid w:val="0EFC36E5"/>
    <w:rsid w:val="0F012521"/>
    <w:rsid w:val="0F293B2D"/>
    <w:rsid w:val="0F4245AA"/>
    <w:rsid w:val="0F4944C8"/>
    <w:rsid w:val="0F856D7C"/>
    <w:rsid w:val="0FA40C66"/>
    <w:rsid w:val="0FBA1C19"/>
    <w:rsid w:val="0FD72864"/>
    <w:rsid w:val="0FE76BBC"/>
    <w:rsid w:val="100F2BD1"/>
    <w:rsid w:val="1012149F"/>
    <w:rsid w:val="1050255E"/>
    <w:rsid w:val="107D5FE7"/>
    <w:rsid w:val="10800731"/>
    <w:rsid w:val="108A6DCE"/>
    <w:rsid w:val="1099262B"/>
    <w:rsid w:val="10BD2C31"/>
    <w:rsid w:val="10E72B9F"/>
    <w:rsid w:val="10EE7DD4"/>
    <w:rsid w:val="10F11000"/>
    <w:rsid w:val="10F82D2F"/>
    <w:rsid w:val="11174D13"/>
    <w:rsid w:val="111928D1"/>
    <w:rsid w:val="11245A43"/>
    <w:rsid w:val="11271609"/>
    <w:rsid w:val="113A53C4"/>
    <w:rsid w:val="11423E5F"/>
    <w:rsid w:val="114C29E8"/>
    <w:rsid w:val="11512744"/>
    <w:rsid w:val="1154104B"/>
    <w:rsid w:val="117E6776"/>
    <w:rsid w:val="120E1EDE"/>
    <w:rsid w:val="12334244"/>
    <w:rsid w:val="1243265A"/>
    <w:rsid w:val="124A7543"/>
    <w:rsid w:val="12521F00"/>
    <w:rsid w:val="12546914"/>
    <w:rsid w:val="125760D4"/>
    <w:rsid w:val="12CC0349"/>
    <w:rsid w:val="12F94796"/>
    <w:rsid w:val="13161848"/>
    <w:rsid w:val="132728CD"/>
    <w:rsid w:val="133A31A2"/>
    <w:rsid w:val="13537CEC"/>
    <w:rsid w:val="137204BA"/>
    <w:rsid w:val="13767B3A"/>
    <w:rsid w:val="13815D15"/>
    <w:rsid w:val="138A48B6"/>
    <w:rsid w:val="1390642F"/>
    <w:rsid w:val="13A17D25"/>
    <w:rsid w:val="13BA35BF"/>
    <w:rsid w:val="13D02B8C"/>
    <w:rsid w:val="13D659BD"/>
    <w:rsid w:val="13E50981"/>
    <w:rsid w:val="13FE0DFE"/>
    <w:rsid w:val="14151EEA"/>
    <w:rsid w:val="142B2AFA"/>
    <w:rsid w:val="145835BA"/>
    <w:rsid w:val="14794309"/>
    <w:rsid w:val="14825712"/>
    <w:rsid w:val="14941145"/>
    <w:rsid w:val="14A718D6"/>
    <w:rsid w:val="14D47AB7"/>
    <w:rsid w:val="14E453C8"/>
    <w:rsid w:val="15233557"/>
    <w:rsid w:val="152D47C3"/>
    <w:rsid w:val="153214D2"/>
    <w:rsid w:val="155B529C"/>
    <w:rsid w:val="15625511"/>
    <w:rsid w:val="157A248B"/>
    <w:rsid w:val="158D6722"/>
    <w:rsid w:val="16021394"/>
    <w:rsid w:val="160E0808"/>
    <w:rsid w:val="1649386D"/>
    <w:rsid w:val="16E425C9"/>
    <w:rsid w:val="170E6D43"/>
    <w:rsid w:val="17292C6A"/>
    <w:rsid w:val="17294A6D"/>
    <w:rsid w:val="17322B53"/>
    <w:rsid w:val="17343D68"/>
    <w:rsid w:val="1734459D"/>
    <w:rsid w:val="17786ED9"/>
    <w:rsid w:val="178B60C6"/>
    <w:rsid w:val="17B16E03"/>
    <w:rsid w:val="17B46B20"/>
    <w:rsid w:val="17B63240"/>
    <w:rsid w:val="17BD582B"/>
    <w:rsid w:val="17CE447E"/>
    <w:rsid w:val="17D41B31"/>
    <w:rsid w:val="18067269"/>
    <w:rsid w:val="181B18E0"/>
    <w:rsid w:val="185F4419"/>
    <w:rsid w:val="1889233A"/>
    <w:rsid w:val="189C62C6"/>
    <w:rsid w:val="18A90BB8"/>
    <w:rsid w:val="18D94284"/>
    <w:rsid w:val="18FF0DD7"/>
    <w:rsid w:val="18FF4C70"/>
    <w:rsid w:val="19617621"/>
    <w:rsid w:val="196E0DDB"/>
    <w:rsid w:val="1972591D"/>
    <w:rsid w:val="19761650"/>
    <w:rsid w:val="197E5D58"/>
    <w:rsid w:val="19802E78"/>
    <w:rsid w:val="1982352D"/>
    <w:rsid w:val="19A16964"/>
    <w:rsid w:val="19A86598"/>
    <w:rsid w:val="19AE1969"/>
    <w:rsid w:val="19B87DC1"/>
    <w:rsid w:val="19DF74FF"/>
    <w:rsid w:val="19F64B79"/>
    <w:rsid w:val="1A28357B"/>
    <w:rsid w:val="1A313A49"/>
    <w:rsid w:val="1A6D701B"/>
    <w:rsid w:val="1AEA2A8C"/>
    <w:rsid w:val="1B240EAD"/>
    <w:rsid w:val="1B25070F"/>
    <w:rsid w:val="1B2F721F"/>
    <w:rsid w:val="1B5B2C64"/>
    <w:rsid w:val="1B6953CB"/>
    <w:rsid w:val="1BC15DD7"/>
    <w:rsid w:val="1BD50603"/>
    <w:rsid w:val="1BDC1602"/>
    <w:rsid w:val="1C26089A"/>
    <w:rsid w:val="1C30610C"/>
    <w:rsid w:val="1C340624"/>
    <w:rsid w:val="1C366929"/>
    <w:rsid w:val="1C4055EE"/>
    <w:rsid w:val="1C5A3E95"/>
    <w:rsid w:val="1C9D505E"/>
    <w:rsid w:val="1CA26601"/>
    <w:rsid w:val="1CE5512D"/>
    <w:rsid w:val="1CFA3411"/>
    <w:rsid w:val="1D204F21"/>
    <w:rsid w:val="1D636647"/>
    <w:rsid w:val="1D7B3521"/>
    <w:rsid w:val="1D7F24F1"/>
    <w:rsid w:val="1D8A4DF3"/>
    <w:rsid w:val="1D8D6749"/>
    <w:rsid w:val="1DBB2D63"/>
    <w:rsid w:val="1DC6123C"/>
    <w:rsid w:val="1DE61A43"/>
    <w:rsid w:val="1DF645C8"/>
    <w:rsid w:val="1E233BB0"/>
    <w:rsid w:val="1E312728"/>
    <w:rsid w:val="1E362239"/>
    <w:rsid w:val="1E385716"/>
    <w:rsid w:val="1E4303C2"/>
    <w:rsid w:val="1E6418CC"/>
    <w:rsid w:val="1EB308C1"/>
    <w:rsid w:val="1EF95415"/>
    <w:rsid w:val="1EFE6E0C"/>
    <w:rsid w:val="1F101ABE"/>
    <w:rsid w:val="1F3437EC"/>
    <w:rsid w:val="1F3D6927"/>
    <w:rsid w:val="1F405F69"/>
    <w:rsid w:val="1F631378"/>
    <w:rsid w:val="1F687919"/>
    <w:rsid w:val="1F76202E"/>
    <w:rsid w:val="1F8F7E5C"/>
    <w:rsid w:val="1F940CAD"/>
    <w:rsid w:val="1FAB0BDF"/>
    <w:rsid w:val="1FAF701D"/>
    <w:rsid w:val="1FBD20EF"/>
    <w:rsid w:val="1FCC7D6F"/>
    <w:rsid w:val="1FCD656B"/>
    <w:rsid w:val="1FD034F3"/>
    <w:rsid w:val="1FDB13E2"/>
    <w:rsid w:val="1FF15EF0"/>
    <w:rsid w:val="1FF90C14"/>
    <w:rsid w:val="205273BB"/>
    <w:rsid w:val="206A1A63"/>
    <w:rsid w:val="20746D43"/>
    <w:rsid w:val="20AB27E2"/>
    <w:rsid w:val="20AC4511"/>
    <w:rsid w:val="20BB1D78"/>
    <w:rsid w:val="20BE7A34"/>
    <w:rsid w:val="21021B32"/>
    <w:rsid w:val="21154190"/>
    <w:rsid w:val="21186188"/>
    <w:rsid w:val="2158729D"/>
    <w:rsid w:val="216A15EA"/>
    <w:rsid w:val="217B33CE"/>
    <w:rsid w:val="21E24AD8"/>
    <w:rsid w:val="221C1DEB"/>
    <w:rsid w:val="222C61A7"/>
    <w:rsid w:val="225228A9"/>
    <w:rsid w:val="22703B15"/>
    <w:rsid w:val="228D497D"/>
    <w:rsid w:val="22AC60C8"/>
    <w:rsid w:val="22DE3259"/>
    <w:rsid w:val="22F00967"/>
    <w:rsid w:val="236408D1"/>
    <w:rsid w:val="237B60CA"/>
    <w:rsid w:val="2387122C"/>
    <w:rsid w:val="23910BEF"/>
    <w:rsid w:val="23DB492D"/>
    <w:rsid w:val="23E4680B"/>
    <w:rsid w:val="2400516C"/>
    <w:rsid w:val="24085A4F"/>
    <w:rsid w:val="240F4B2A"/>
    <w:rsid w:val="241A4A05"/>
    <w:rsid w:val="2425767C"/>
    <w:rsid w:val="242A0E1D"/>
    <w:rsid w:val="243C1AFE"/>
    <w:rsid w:val="247E2C16"/>
    <w:rsid w:val="24CE030D"/>
    <w:rsid w:val="24DC3EAB"/>
    <w:rsid w:val="25121BF8"/>
    <w:rsid w:val="253C4217"/>
    <w:rsid w:val="25532C86"/>
    <w:rsid w:val="255C2AE1"/>
    <w:rsid w:val="255F2490"/>
    <w:rsid w:val="25D453E1"/>
    <w:rsid w:val="26075B0A"/>
    <w:rsid w:val="261C2B10"/>
    <w:rsid w:val="26223D84"/>
    <w:rsid w:val="264819A1"/>
    <w:rsid w:val="265C1513"/>
    <w:rsid w:val="2660039C"/>
    <w:rsid w:val="26606D38"/>
    <w:rsid w:val="2664671C"/>
    <w:rsid w:val="26857903"/>
    <w:rsid w:val="26AE6FED"/>
    <w:rsid w:val="26BA5FBA"/>
    <w:rsid w:val="26CC79CE"/>
    <w:rsid w:val="26E55A24"/>
    <w:rsid w:val="26E663EF"/>
    <w:rsid w:val="26F93E83"/>
    <w:rsid w:val="270F6ADD"/>
    <w:rsid w:val="273A478E"/>
    <w:rsid w:val="2741519C"/>
    <w:rsid w:val="27591AE0"/>
    <w:rsid w:val="275A5444"/>
    <w:rsid w:val="27630099"/>
    <w:rsid w:val="276341AD"/>
    <w:rsid w:val="27683AE1"/>
    <w:rsid w:val="27A978EC"/>
    <w:rsid w:val="27B76B5A"/>
    <w:rsid w:val="27BF2F68"/>
    <w:rsid w:val="27CA6D83"/>
    <w:rsid w:val="27E12375"/>
    <w:rsid w:val="28136A8E"/>
    <w:rsid w:val="28237309"/>
    <w:rsid w:val="284847EE"/>
    <w:rsid w:val="28634B37"/>
    <w:rsid w:val="28863150"/>
    <w:rsid w:val="288F6E9F"/>
    <w:rsid w:val="28A23536"/>
    <w:rsid w:val="28FE1EAD"/>
    <w:rsid w:val="29082B64"/>
    <w:rsid w:val="291A5959"/>
    <w:rsid w:val="295E313D"/>
    <w:rsid w:val="29726862"/>
    <w:rsid w:val="29A41DBC"/>
    <w:rsid w:val="29C158BA"/>
    <w:rsid w:val="29CE019B"/>
    <w:rsid w:val="29E01545"/>
    <w:rsid w:val="29F84E47"/>
    <w:rsid w:val="2A1D79BB"/>
    <w:rsid w:val="2A3E75AD"/>
    <w:rsid w:val="2A972E22"/>
    <w:rsid w:val="2ABF3381"/>
    <w:rsid w:val="2AD670DC"/>
    <w:rsid w:val="2ADE7F85"/>
    <w:rsid w:val="2B1B7216"/>
    <w:rsid w:val="2B3F1BB4"/>
    <w:rsid w:val="2B651481"/>
    <w:rsid w:val="2B963DEC"/>
    <w:rsid w:val="2B9F3F88"/>
    <w:rsid w:val="2BA47FE1"/>
    <w:rsid w:val="2BAC310F"/>
    <w:rsid w:val="2BEF52F3"/>
    <w:rsid w:val="2C0C0ED2"/>
    <w:rsid w:val="2C1852E4"/>
    <w:rsid w:val="2C8B1289"/>
    <w:rsid w:val="2CC16B39"/>
    <w:rsid w:val="2CEC49A4"/>
    <w:rsid w:val="2CF43625"/>
    <w:rsid w:val="2D1437B2"/>
    <w:rsid w:val="2D1903E2"/>
    <w:rsid w:val="2D1E3173"/>
    <w:rsid w:val="2D3421AB"/>
    <w:rsid w:val="2D3C4EF7"/>
    <w:rsid w:val="2D550B77"/>
    <w:rsid w:val="2E4269B1"/>
    <w:rsid w:val="2E6618E5"/>
    <w:rsid w:val="2E7A57F0"/>
    <w:rsid w:val="2E8171A7"/>
    <w:rsid w:val="2EA1006E"/>
    <w:rsid w:val="2EA25052"/>
    <w:rsid w:val="2EAF024E"/>
    <w:rsid w:val="2EAF48C6"/>
    <w:rsid w:val="2EE8623C"/>
    <w:rsid w:val="2EEC57F6"/>
    <w:rsid w:val="2EEC7E83"/>
    <w:rsid w:val="2EF335AC"/>
    <w:rsid w:val="2F043748"/>
    <w:rsid w:val="2F0B30A1"/>
    <w:rsid w:val="2F4B243D"/>
    <w:rsid w:val="2F522711"/>
    <w:rsid w:val="2F806B20"/>
    <w:rsid w:val="2F867577"/>
    <w:rsid w:val="2F9034C9"/>
    <w:rsid w:val="2FB70894"/>
    <w:rsid w:val="2FE7047C"/>
    <w:rsid w:val="2FF72FE2"/>
    <w:rsid w:val="2FF80391"/>
    <w:rsid w:val="301D5D54"/>
    <w:rsid w:val="30370228"/>
    <w:rsid w:val="3044147F"/>
    <w:rsid w:val="30690741"/>
    <w:rsid w:val="306E1479"/>
    <w:rsid w:val="30750496"/>
    <w:rsid w:val="307B30AF"/>
    <w:rsid w:val="30836B90"/>
    <w:rsid w:val="30956EBE"/>
    <w:rsid w:val="30C022A0"/>
    <w:rsid w:val="30C3381E"/>
    <w:rsid w:val="30CE1B16"/>
    <w:rsid w:val="30D77998"/>
    <w:rsid w:val="31403EBD"/>
    <w:rsid w:val="31472444"/>
    <w:rsid w:val="316064BC"/>
    <w:rsid w:val="319A7585"/>
    <w:rsid w:val="31A81316"/>
    <w:rsid w:val="31C330CE"/>
    <w:rsid w:val="31D32D7D"/>
    <w:rsid w:val="31D42917"/>
    <w:rsid w:val="32282E69"/>
    <w:rsid w:val="3237025A"/>
    <w:rsid w:val="32A15029"/>
    <w:rsid w:val="32B1690A"/>
    <w:rsid w:val="32B44A46"/>
    <w:rsid w:val="32B73C26"/>
    <w:rsid w:val="32CF12F7"/>
    <w:rsid w:val="3309466A"/>
    <w:rsid w:val="330D6DBA"/>
    <w:rsid w:val="331329E4"/>
    <w:rsid w:val="333A68C8"/>
    <w:rsid w:val="334350DC"/>
    <w:rsid w:val="334607E7"/>
    <w:rsid w:val="335465E4"/>
    <w:rsid w:val="335B7A1B"/>
    <w:rsid w:val="33756B32"/>
    <w:rsid w:val="33AB3374"/>
    <w:rsid w:val="33B142B7"/>
    <w:rsid w:val="33BE20D0"/>
    <w:rsid w:val="34136F86"/>
    <w:rsid w:val="34582372"/>
    <w:rsid w:val="347822F5"/>
    <w:rsid w:val="347C6B46"/>
    <w:rsid w:val="348C61C4"/>
    <w:rsid w:val="34AC2C35"/>
    <w:rsid w:val="34BD7940"/>
    <w:rsid w:val="34BE5CAA"/>
    <w:rsid w:val="34D23867"/>
    <w:rsid w:val="34D4348E"/>
    <w:rsid w:val="34FD3310"/>
    <w:rsid w:val="353E4EE3"/>
    <w:rsid w:val="3587410B"/>
    <w:rsid w:val="358C4A8A"/>
    <w:rsid w:val="3596698E"/>
    <w:rsid w:val="359E03A3"/>
    <w:rsid w:val="35DB00BD"/>
    <w:rsid w:val="360B4E8E"/>
    <w:rsid w:val="36270398"/>
    <w:rsid w:val="363D08CC"/>
    <w:rsid w:val="36490D51"/>
    <w:rsid w:val="367C559F"/>
    <w:rsid w:val="368B14B9"/>
    <w:rsid w:val="369030E0"/>
    <w:rsid w:val="369F6D06"/>
    <w:rsid w:val="36AB1CEE"/>
    <w:rsid w:val="36CB3291"/>
    <w:rsid w:val="36D849ED"/>
    <w:rsid w:val="36D90A1F"/>
    <w:rsid w:val="36E6312A"/>
    <w:rsid w:val="36F96F77"/>
    <w:rsid w:val="37007ED9"/>
    <w:rsid w:val="37322601"/>
    <w:rsid w:val="37433B9B"/>
    <w:rsid w:val="37BA1243"/>
    <w:rsid w:val="37BA4BDF"/>
    <w:rsid w:val="37BB216B"/>
    <w:rsid w:val="37BC719F"/>
    <w:rsid w:val="37E6496D"/>
    <w:rsid w:val="37F96522"/>
    <w:rsid w:val="381973C0"/>
    <w:rsid w:val="383343FC"/>
    <w:rsid w:val="38676C8B"/>
    <w:rsid w:val="386801E6"/>
    <w:rsid w:val="38792449"/>
    <w:rsid w:val="387C2B0E"/>
    <w:rsid w:val="389C3258"/>
    <w:rsid w:val="38A3130A"/>
    <w:rsid w:val="38A5476C"/>
    <w:rsid w:val="38C01FCA"/>
    <w:rsid w:val="38CB7E89"/>
    <w:rsid w:val="38D01637"/>
    <w:rsid w:val="38D03369"/>
    <w:rsid w:val="38D4251F"/>
    <w:rsid w:val="38DC46AE"/>
    <w:rsid w:val="38E451C2"/>
    <w:rsid w:val="390312A2"/>
    <w:rsid w:val="394D7C2B"/>
    <w:rsid w:val="3952595F"/>
    <w:rsid w:val="39650E24"/>
    <w:rsid w:val="397D387E"/>
    <w:rsid w:val="398C5E72"/>
    <w:rsid w:val="39C96790"/>
    <w:rsid w:val="39CB3DA8"/>
    <w:rsid w:val="39CC1676"/>
    <w:rsid w:val="39CF6825"/>
    <w:rsid w:val="39E00299"/>
    <w:rsid w:val="39E65057"/>
    <w:rsid w:val="39F97ED3"/>
    <w:rsid w:val="3A042116"/>
    <w:rsid w:val="3A087D52"/>
    <w:rsid w:val="3A101B16"/>
    <w:rsid w:val="3A176550"/>
    <w:rsid w:val="3A2B22F7"/>
    <w:rsid w:val="3A630BD5"/>
    <w:rsid w:val="3A7A56E0"/>
    <w:rsid w:val="3AD3624B"/>
    <w:rsid w:val="3AEA2A44"/>
    <w:rsid w:val="3AFF2C90"/>
    <w:rsid w:val="3AFF4A73"/>
    <w:rsid w:val="3B1523C6"/>
    <w:rsid w:val="3B18752E"/>
    <w:rsid w:val="3B1D1019"/>
    <w:rsid w:val="3B207C1A"/>
    <w:rsid w:val="3B274BE3"/>
    <w:rsid w:val="3B3C0357"/>
    <w:rsid w:val="3B5312FC"/>
    <w:rsid w:val="3B703897"/>
    <w:rsid w:val="3B8C1841"/>
    <w:rsid w:val="3B8F4DE7"/>
    <w:rsid w:val="3B92496B"/>
    <w:rsid w:val="3BB368FC"/>
    <w:rsid w:val="3BC232AE"/>
    <w:rsid w:val="3BD115E3"/>
    <w:rsid w:val="3BF27BCF"/>
    <w:rsid w:val="3BFF69F6"/>
    <w:rsid w:val="3C29301A"/>
    <w:rsid w:val="3C2A1CC6"/>
    <w:rsid w:val="3C2A3907"/>
    <w:rsid w:val="3C362055"/>
    <w:rsid w:val="3C5B5487"/>
    <w:rsid w:val="3C805A69"/>
    <w:rsid w:val="3C82673E"/>
    <w:rsid w:val="3C890B40"/>
    <w:rsid w:val="3C9A75CD"/>
    <w:rsid w:val="3CA662E8"/>
    <w:rsid w:val="3CAC2806"/>
    <w:rsid w:val="3CAC5196"/>
    <w:rsid w:val="3CBA6CAE"/>
    <w:rsid w:val="3CE257BB"/>
    <w:rsid w:val="3D2A52D3"/>
    <w:rsid w:val="3D347300"/>
    <w:rsid w:val="3D4C44DA"/>
    <w:rsid w:val="3D4E29CB"/>
    <w:rsid w:val="3D780066"/>
    <w:rsid w:val="3DC37E52"/>
    <w:rsid w:val="3DE30437"/>
    <w:rsid w:val="3DE50A89"/>
    <w:rsid w:val="3DEA1F9D"/>
    <w:rsid w:val="3DEF2AAF"/>
    <w:rsid w:val="3E03718C"/>
    <w:rsid w:val="3E400433"/>
    <w:rsid w:val="3E42243E"/>
    <w:rsid w:val="3E48647A"/>
    <w:rsid w:val="3E5A1D55"/>
    <w:rsid w:val="3E5C1C90"/>
    <w:rsid w:val="3E680ED2"/>
    <w:rsid w:val="3E700A8F"/>
    <w:rsid w:val="3EB916EC"/>
    <w:rsid w:val="3ECA01A1"/>
    <w:rsid w:val="3ED55C02"/>
    <w:rsid w:val="3F063EFF"/>
    <w:rsid w:val="3F100D38"/>
    <w:rsid w:val="3F15473E"/>
    <w:rsid w:val="3F1B4431"/>
    <w:rsid w:val="3F5844C5"/>
    <w:rsid w:val="3F5D7BA0"/>
    <w:rsid w:val="3F9B51E9"/>
    <w:rsid w:val="3FC7317D"/>
    <w:rsid w:val="3FEF086B"/>
    <w:rsid w:val="3FF74BF3"/>
    <w:rsid w:val="400C09CA"/>
    <w:rsid w:val="400F0985"/>
    <w:rsid w:val="40286715"/>
    <w:rsid w:val="40354C7B"/>
    <w:rsid w:val="40380095"/>
    <w:rsid w:val="403C7F31"/>
    <w:rsid w:val="40577FC9"/>
    <w:rsid w:val="40F5414B"/>
    <w:rsid w:val="40FF4AF1"/>
    <w:rsid w:val="411124CB"/>
    <w:rsid w:val="41124EE6"/>
    <w:rsid w:val="411C1436"/>
    <w:rsid w:val="412F3326"/>
    <w:rsid w:val="414B7682"/>
    <w:rsid w:val="415228BA"/>
    <w:rsid w:val="41760D1B"/>
    <w:rsid w:val="417C58E1"/>
    <w:rsid w:val="41A814A5"/>
    <w:rsid w:val="41AB3120"/>
    <w:rsid w:val="41F84FF7"/>
    <w:rsid w:val="42B86496"/>
    <w:rsid w:val="42C35217"/>
    <w:rsid w:val="42D7188C"/>
    <w:rsid w:val="42E81CAF"/>
    <w:rsid w:val="43023750"/>
    <w:rsid w:val="430516EA"/>
    <w:rsid w:val="430B1EFC"/>
    <w:rsid w:val="4317322A"/>
    <w:rsid w:val="432E6D6F"/>
    <w:rsid w:val="43304682"/>
    <w:rsid w:val="43305C80"/>
    <w:rsid w:val="435412B8"/>
    <w:rsid w:val="43666252"/>
    <w:rsid w:val="43783D27"/>
    <w:rsid w:val="4390141C"/>
    <w:rsid w:val="43B5765B"/>
    <w:rsid w:val="43D16466"/>
    <w:rsid w:val="440C6F2A"/>
    <w:rsid w:val="440D6DAD"/>
    <w:rsid w:val="44311C28"/>
    <w:rsid w:val="444F7C0C"/>
    <w:rsid w:val="445648C3"/>
    <w:rsid w:val="44647472"/>
    <w:rsid w:val="44666302"/>
    <w:rsid w:val="44897B9E"/>
    <w:rsid w:val="44A70428"/>
    <w:rsid w:val="44A72F03"/>
    <w:rsid w:val="45022B85"/>
    <w:rsid w:val="45022D5F"/>
    <w:rsid w:val="45190D07"/>
    <w:rsid w:val="452A085B"/>
    <w:rsid w:val="452C72B7"/>
    <w:rsid w:val="45420324"/>
    <w:rsid w:val="45571DF7"/>
    <w:rsid w:val="4563705D"/>
    <w:rsid w:val="45904ACF"/>
    <w:rsid w:val="45B10782"/>
    <w:rsid w:val="45CC05D8"/>
    <w:rsid w:val="45F95B4D"/>
    <w:rsid w:val="460452A0"/>
    <w:rsid w:val="46135F32"/>
    <w:rsid w:val="46262176"/>
    <w:rsid w:val="4680445C"/>
    <w:rsid w:val="468E4477"/>
    <w:rsid w:val="46911CEA"/>
    <w:rsid w:val="46922D19"/>
    <w:rsid w:val="46DB5B28"/>
    <w:rsid w:val="46DE7987"/>
    <w:rsid w:val="47176D8E"/>
    <w:rsid w:val="4742191A"/>
    <w:rsid w:val="474E1E6C"/>
    <w:rsid w:val="47BD2E26"/>
    <w:rsid w:val="47E713D4"/>
    <w:rsid w:val="47ED7CEE"/>
    <w:rsid w:val="483C4B9E"/>
    <w:rsid w:val="48447159"/>
    <w:rsid w:val="48677222"/>
    <w:rsid w:val="486977C7"/>
    <w:rsid w:val="48782B57"/>
    <w:rsid w:val="48A56E07"/>
    <w:rsid w:val="48E25783"/>
    <w:rsid w:val="48E55B55"/>
    <w:rsid w:val="490B6C14"/>
    <w:rsid w:val="49343FC1"/>
    <w:rsid w:val="49626EB7"/>
    <w:rsid w:val="49742590"/>
    <w:rsid w:val="497547CF"/>
    <w:rsid w:val="49BF4FB3"/>
    <w:rsid w:val="49D87E02"/>
    <w:rsid w:val="49DA4936"/>
    <w:rsid w:val="49E1067B"/>
    <w:rsid w:val="49E65E9A"/>
    <w:rsid w:val="49F038BD"/>
    <w:rsid w:val="4A0C6576"/>
    <w:rsid w:val="4A131739"/>
    <w:rsid w:val="4A2474CC"/>
    <w:rsid w:val="4A3E05CE"/>
    <w:rsid w:val="4A3F1C6E"/>
    <w:rsid w:val="4A42520C"/>
    <w:rsid w:val="4A5C7A81"/>
    <w:rsid w:val="4A7953F9"/>
    <w:rsid w:val="4A7F7023"/>
    <w:rsid w:val="4A833CCA"/>
    <w:rsid w:val="4A9B20E2"/>
    <w:rsid w:val="4AA27E36"/>
    <w:rsid w:val="4ADF6DFE"/>
    <w:rsid w:val="4ADF7733"/>
    <w:rsid w:val="4AF1677E"/>
    <w:rsid w:val="4AF220B2"/>
    <w:rsid w:val="4B0D3F9B"/>
    <w:rsid w:val="4B1469C0"/>
    <w:rsid w:val="4B2765EA"/>
    <w:rsid w:val="4B2B6CF9"/>
    <w:rsid w:val="4B4911AB"/>
    <w:rsid w:val="4B6005EF"/>
    <w:rsid w:val="4B7F3FBA"/>
    <w:rsid w:val="4B8128F4"/>
    <w:rsid w:val="4B83292A"/>
    <w:rsid w:val="4B834F6D"/>
    <w:rsid w:val="4BD52A4E"/>
    <w:rsid w:val="4BEC5326"/>
    <w:rsid w:val="4C1A29A2"/>
    <w:rsid w:val="4C242FF7"/>
    <w:rsid w:val="4C755D10"/>
    <w:rsid w:val="4CB85404"/>
    <w:rsid w:val="4CC42BA6"/>
    <w:rsid w:val="4CD452CB"/>
    <w:rsid w:val="4CEB1DC3"/>
    <w:rsid w:val="4D04384B"/>
    <w:rsid w:val="4D2D65AC"/>
    <w:rsid w:val="4D3223EC"/>
    <w:rsid w:val="4D36250D"/>
    <w:rsid w:val="4D7057DD"/>
    <w:rsid w:val="4D98120C"/>
    <w:rsid w:val="4DA402B8"/>
    <w:rsid w:val="4DC32884"/>
    <w:rsid w:val="4DD64716"/>
    <w:rsid w:val="4DE37B55"/>
    <w:rsid w:val="4DF54F33"/>
    <w:rsid w:val="4DF83ADA"/>
    <w:rsid w:val="4DFE7DDE"/>
    <w:rsid w:val="4E472E47"/>
    <w:rsid w:val="4E4B4187"/>
    <w:rsid w:val="4E4E2195"/>
    <w:rsid w:val="4E797966"/>
    <w:rsid w:val="4E896E0B"/>
    <w:rsid w:val="4E897021"/>
    <w:rsid w:val="4E962538"/>
    <w:rsid w:val="4EA0534F"/>
    <w:rsid w:val="4EBD7110"/>
    <w:rsid w:val="4EDB02A0"/>
    <w:rsid w:val="4F074EBE"/>
    <w:rsid w:val="4F490012"/>
    <w:rsid w:val="4F55325D"/>
    <w:rsid w:val="4F655F44"/>
    <w:rsid w:val="4FC75E86"/>
    <w:rsid w:val="4FC9625A"/>
    <w:rsid w:val="4FD219BF"/>
    <w:rsid w:val="4FDD7954"/>
    <w:rsid w:val="4FE40265"/>
    <w:rsid w:val="4FF73DCE"/>
    <w:rsid w:val="50265478"/>
    <w:rsid w:val="502D5AAE"/>
    <w:rsid w:val="502E108E"/>
    <w:rsid w:val="5038327F"/>
    <w:rsid w:val="504F5FB3"/>
    <w:rsid w:val="505F01DE"/>
    <w:rsid w:val="507F2019"/>
    <w:rsid w:val="5085256B"/>
    <w:rsid w:val="50883443"/>
    <w:rsid w:val="50B264B8"/>
    <w:rsid w:val="50DE6724"/>
    <w:rsid w:val="510C3D6B"/>
    <w:rsid w:val="512E73AD"/>
    <w:rsid w:val="51302C35"/>
    <w:rsid w:val="51343071"/>
    <w:rsid w:val="513B7EA1"/>
    <w:rsid w:val="514465DA"/>
    <w:rsid w:val="51523D7D"/>
    <w:rsid w:val="51725C58"/>
    <w:rsid w:val="518A24A0"/>
    <w:rsid w:val="519A258E"/>
    <w:rsid w:val="51AD5279"/>
    <w:rsid w:val="51D120F2"/>
    <w:rsid w:val="51D62467"/>
    <w:rsid w:val="51DD04CA"/>
    <w:rsid w:val="522F4687"/>
    <w:rsid w:val="5283494B"/>
    <w:rsid w:val="52DA1F67"/>
    <w:rsid w:val="52DC1233"/>
    <w:rsid w:val="53260AAA"/>
    <w:rsid w:val="53500D51"/>
    <w:rsid w:val="5350481B"/>
    <w:rsid w:val="53805D67"/>
    <w:rsid w:val="539E17A0"/>
    <w:rsid w:val="53B532CF"/>
    <w:rsid w:val="53C515E2"/>
    <w:rsid w:val="53CC502D"/>
    <w:rsid w:val="53DD2A43"/>
    <w:rsid w:val="53F45053"/>
    <w:rsid w:val="53FC01FB"/>
    <w:rsid w:val="54044960"/>
    <w:rsid w:val="541226B6"/>
    <w:rsid w:val="543C54DD"/>
    <w:rsid w:val="54623D30"/>
    <w:rsid w:val="546663A5"/>
    <w:rsid w:val="54684AF8"/>
    <w:rsid w:val="546F43B4"/>
    <w:rsid w:val="54795CA3"/>
    <w:rsid w:val="548B70F8"/>
    <w:rsid w:val="54952DD2"/>
    <w:rsid w:val="54985012"/>
    <w:rsid w:val="54AA6BFF"/>
    <w:rsid w:val="54AD2A7D"/>
    <w:rsid w:val="54B70DF0"/>
    <w:rsid w:val="54D90FF7"/>
    <w:rsid w:val="54F66DF0"/>
    <w:rsid w:val="54F96E2D"/>
    <w:rsid w:val="55044115"/>
    <w:rsid w:val="55102B21"/>
    <w:rsid w:val="551A04D3"/>
    <w:rsid w:val="552247B5"/>
    <w:rsid w:val="553C20AD"/>
    <w:rsid w:val="556D0E40"/>
    <w:rsid w:val="5577432F"/>
    <w:rsid w:val="557D0674"/>
    <w:rsid w:val="55B436E3"/>
    <w:rsid w:val="55D93EB7"/>
    <w:rsid w:val="562B749E"/>
    <w:rsid w:val="564B2680"/>
    <w:rsid w:val="565D465B"/>
    <w:rsid w:val="566D4B4A"/>
    <w:rsid w:val="5677609D"/>
    <w:rsid w:val="56945F1A"/>
    <w:rsid w:val="569C1164"/>
    <w:rsid w:val="56B52743"/>
    <w:rsid w:val="56E92FE2"/>
    <w:rsid w:val="570074C9"/>
    <w:rsid w:val="57413838"/>
    <w:rsid w:val="574B7586"/>
    <w:rsid w:val="574F23F9"/>
    <w:rsid w:val="576C7516"/>
    <w:rsid w:val="57875755"/>
    <w:rsid w:val="579F170B"/>
    <w:rsid w:val="57AB4FF3"/>
    <w:rsid w:val="57DE4B2F"/>
    <w:rsid w:val="580F0828"/>
    <w:rsid w:val="581B2ACA"/>
    <w:rsid w:val="58534B28"/>
    <w:rsid w:val="588C5CB7"/>
    <w:rsid w:val="589B6EE0"/>
    <w:rsid w:val="58AB3A34"/>
    <w:rsid w:val="58E24023"/>
    <w:rsid w:val="58E43783"/>
    <w:rsid w:val="58E86982"/>
    <w:rsid w:val="58F55A69"/>
    <w:rsid w:val="58FB55FE"/>
    <w:rsid w:val="592379E6"/>
    <w:rsid w:val="592A1998"/>
    <w:rsid w:val="5969395A"/>
    <w:rsid w:val="598125F8"/>
    <w:rsid w:val="59882FF0"/>
    <w:rsid w:val="59A60F5A"/>
    <w:rsid w:val="59B94CC4"/>
    <w:rsid w:val="59BB36C4"/>
    <w:rsid w:val="5A091FF8"/>
    <w:rsid w:val="5A0F4F36"/>
    <w:rsid w:val="5A1541AB"/>
    <w:rsid w:val="5A1A1EDB"/>
    <w:rsid w:val="5A2A4B14"/>
    <w:rsid w:val="5A2E1CC0"/>
    <w:rsid w:val="5A2F59C3"/>
    <w:rsid w:val="5A5B5B65"/>
    <w:rsid w:val="5A7C1EC2"/>
    <w:rsid w:val="5AD71A23"/>
    <w:rsid w:val="5ADC40E2"/>
    <w:rsid w:val="5AEF3DDE"/>
    <w:rsid w:val="5AF8583C"/>
    <w:rsid w:val="5AFD2105"/>
    <w:rsid w:val="5B01360B"/>
    <w:rsid w:val="5B14044F"/>
    <w:rsid w:val="5B5C33C7"/>
    <w:rsid w:val="5B846642"/>
    <w:rsid w:val="5B9345DE"/>
    <w:rsid w:val="5B94158A"/>
    <w:rsid w:val="5B9D0974"/>
    <w:rsid w:val="5BBD1564"/>
    <w:rsid w:val="5BC430F1"/>
    <w:rsid w:val="5BE50578"/>
    <w:rsid w:val="5BEC3B59"/>
    <w:rsid w:val="5C1652F9"/>
    <w:rsid w:val="5C9C4FCB"/>
    <w:rsid w:val="5CBD3922"/>
    <w:rsid w:val="5CD71012"/>
    <w:rsid w:val="5CEF72BA"/>
    <w:rsid w:val="5CF70434"/>
    <w:rsid w:val="5D1854CD"/>
    <w:rsid w:val="5D553A95"/>
    <w:rsid w:val="5D62009E"/>
    <w:rsid w:val="5D6A7B0E"/>
    <w:rsid w:val="5D994942"/>
    <w:rsid w:val="5D997FD9"/>
    <w:rsid w:val="5DA3557D"/>
    <w:rsid w:val="5DB700E1"/>
    <w:rsid w:val="5DBB2B4B"/>
    <w:rsid w:val="5DD34AD1"/>
    <w:rsid w:val="5DD80051"/>
    <w:rsid w:val="5DD95F90"/>
    <w:rsid w:val="5DF62F70"/>
    <w:rsid w:val="5E20798B"/>
    <w:rsid w:val="5E356F1F"/>
    <w:rsid w:val="5E4D4722"/>
    <w:rsid w:val="5E6E6249"/>
    <w:rsid w:val="5E7B60DB"/>
    <w:rsid w:val="5E8A188B"/>
    <w:rsid w:val="5EAB3CC7"/>
    <w:rsid w:val="5EB82B7B"/>
    <w:rsid w:val="5EC42611"/>
    <w:rsid w:val="5EEE33FD"/>
    <w:rsid w:val="5EF126C0"/>
    <w:rsid w:val="5F090A89"/>
    <w:rsid w:val="5F0D28BD"/>
    <w:rsid w:val="5F4D22BA"/>
    <w:rsid w:val="5F65734B"/>
    <w:rsid w:val="5F7D0637"/>
    <w:rsid w:val="5F98519A"/>
    <w:rsid w:val="5F99442C"/>
    <w:rsid w:val="5FB742C5"/>
    <w:rsid w:val="5FCD6078"/>
    <w:rsid w:val="5FEE24CA"/>
    <w:rsid w:val="600B4EFB"/>
    <w:rsid w:val="601F4BAF"/>
    <w:rsid w:val="604A23F9"/>
    <w:rsid w:val="60637F52"/>
    <w:rsid w:val="60931426"/>
    <w:rsid w:val="60BC0D77"/>
    <w:rsid w:val="60EA095F"/>
    <w:rsid w:val="610C4ACE"/>
    <w:rsid w:val="612D05BB"/>
    <w:rsid w:val="61510304"/>
    <w:rsid w:val="619418EC"/>
    <w:rsid w:val="61AC418E"/>
    <w:rsid w:val="62154DF7"/>
    <w:rsid w:val="6216083E"/>
    <w:rsid w:val="62647C14"/>
    <w:rsid w:val="626F7F7D"/>
    <w:rsid w:val="62A12BEF"/>
    <w:rsid w:val="62A139F3"/>
    <w:rsid w:val="62A6516A"/>
    <w:rsid w:val="62AE41D6"/>
    <w:rsid w:val="62CF32E1"/>
    <w:rsid w:val="62D5076A"/>
    <w:rsid w:val="62DE49DD"/>
    <w:rsid w:val="62E515D1"/>
    <w:rsid w:val="62ED6AB2"/>
    <w:rsid w:val="62F33B80"/>
    <w:rsid w:val="62F67FC2"/>
    <w:rsid w:val="62F76189"/>
    <w:rsid w:val="630C516B"/>
    <w:rsid w:val="6331663B"/>
    <w:rsid w:val="6336142F"/>
    <w:rsid w:val="634351B6"/>
    <w:rsid w:val="6387254A"/>
    <w:rsid w:val="638D4F38"/>
    <w:rsid w:val="63BB29E2"/>
    <w:rsid w:val="63EE7BC2"/>
    <w:rsid w:val="64116F3E"/>
    <w:rsid w:val="641D2495"/>
    <w:rsid w:val="643B1BC5"/>
    <w:rsid w:val="649B63D6"/>
    <w:rsid w:val="64A70088"/>
    <w:rsid w:val="64E05C3C"/>
    <w:rsid w:val="64FA30E0"/>
    <w:rsid w:val="65031AFB"/>
    <w:rsid w:val="65164C0C"/>
    <w:rsid w:val="65293523"/>
    <w:rsid w:val="654A176D"/>
    <w:rsid w:val="656475AC"/>
    <w:rsid w:val="656D04E3"/>
    <w:rsid w:val="656E012E"/>
    <w:rsid w:val="65875B16"/>
    <w:rsid w:val="658E4991"/>
    <w:rsid w:val="65B449B7"/>
    <w:rsid w:val="65C308A8"/>
    <w:rsid w:val="65D163E1"/>
    <w:rsid w:val="66072ECE"/>
    <w:rsid w:val="660F474C"/>
    <w:rsid w:val="661A5498"/>
    <w:rsid w:val="66540846"/>
    <w:rsid w:val="668506CA"/>
    <w:rsid w:val="668A3617"/>
    <w:rsid w:val="668C5F71"/>
    <w:rsid w:val="668C6957"/>
    <w:rsid w:val="66981E41"/>
    <w:rsid w:val="66C73865"/>
    <w:rsid w:val="66E069BA"/>
    <w:rsid w:val="66EF7A62"/>
    <w:rsid w:val="66F31B42"/>
    <w:rsid w:val="674D3F5C"/>
    <w:rsid w:val="678D07EE"/>
    <w:rsid w:val="67A6286D"/>
    <w:rsid w:val="67B93CA4"/>
    <w:rsid w:val="67DA4B2A"/>
    <w:rsid w:val="6802710A"/>
    <w:rsid w:val="680A47AA"/>
    <w:rsid w:val="680C0846"/>
    <w:rsid w:val="682739EC"/>
    <w:rsid w:val="68317660"/>
    <w:rsid w:val="68425993"/>
    <w:rsid w:val="68633099"/>
    <w:rsid w:val="68C10D9F"/>
    <w:rsid w:val="690872DE"/>
    <w:rsid w:val="69354EE3"/>
    <w:rsid w:val="695E1C38"/>
    <w:rsid w:val="69681D89"/>
    <w:rsid w:val="699604A0"/>
    <w:rsid w:val="69981BB6"/>
    <w:rsid w:val="699C7570"/>
    <w:rsid w:val="69A75110"/>
    <w:rsid w:val="69AF003E"/>
    <w:rsid w:val="69CD52B0"/>
    <w:rsid w:val="69DC2843"/>
    <w:rsid w:val="69F830AA"/>
    <w:rsid w:val="6A085CBE"/>
    <w:rsid w:val="6A153A67"/>
    <w:rsid w:val="6A3F352D"/>
    <w:rsid w:val="6A4C344E"/>
    <w:rsid w:val="6A4E7A1A"/>
    <w:rsid w:val="6A5B0582"/>
    <w:rsid w:val="6A5F3D6D"/>
    <w:rsid w:val="6A855576"/>
    <w:rsid w:val="6AFE36E2"/>
    <w:rsid w:val="6B0B1A2E"/>
    <w:rsid w:val="6B185C86"/>
    <w:rsid w:val="6B241890"/>
    <w:rsid w:val="6B2D3621"/>
    <w:rsid w:val="6B433933"/>
    <w:rsid w:val="6B575AA1"/>
    <w:rsid w:val="6B940198"/>
    <w:rsid w:val="6BD541E5"/>
    <w:rsid w:val="6BD61A29"/>
    <w:rsid w:val="6BD96D03"/>
    <w:rsid w:val="6BDC24CE"/>
    <w:rsid w:val="6C12377A"/>
    <w:rsid w:val="6C226508"/>
    <w:rsid w:val="6C2D1DCF"/>
    <w:rsid w:val="6C4930E9"/>
    <w:rsid w:val="6C62779B"/>
    <w:rsid w:val="6C6A02DA"/>
    <w:rsid w:val="6C947184"/>
    <w:rsid w:val="6C9838C1"/>
    <w:rsid w:val="6D110D3B"/>
    <w:rsid w:val="6D2800FF"/>
    <w:rsid w:val="6D5743E9"/>
    <w:rsid w:val="6D5C53FB"/>
    <w:rsid w:val="6D8110C5"/>
    <w:rsid w:val="6DA0283D"/>
    <w:rsid w:val="6E166BAF"/>
    <w:rsid w:val="6E185853"/>
    <w:rsid w:val="6E344AD2"/>
    <w:rsid w:val="6E53210F"/>
    <w:rsid w:val="6E603223"/>
    <w:rsid w:val="6E716270"/>
    <w:rsid w:val="6E8639DF"/>
    <w:rsid w:val="6E962605"/>
    <w:rsid w:val="6EAB6A62"/>
    <w:rsid w:val="6ED11026"/>
    <w:rsid w:val="6EFA4931"/>
    <w:rsid w:val="6F032C16"/>
    <w:rsid w:val="6F0C63C1"/>
    <w:rsid w:val="6F1A4A00"/>
    <w:rsid w:val="6F265DA7"/>
    <w:rsid w:val="6F57340B"/>
    <w:rsid w:val="6F69715D"/>
    <w:rsid w:val="6F6D5164"/>
    <w:rsid w:val="6F7F0787"/>
    <w:rsid w:val="6F8A2CEF"/>
    <w:rsid w:val="6FA11C8D"/>
    <w:rsid w:val="6FAA79E8"/>
    <w:rsid w:val="6FBA768F"/>
    <w:rsid w:val="6FBE4BE4"/>
    <w:rsid w:val="6FD55A73"/>
    <w:rsid w:val="6FD741DB"/>
    <w:rsid w:val="6FE66028"/>
    <w:rsid w:val="6FF834F9"/>
    <w:rsid w:val="701D72C3"/>
    <w:rsid w:val="703C6BD1"/>
    <w:rsid w:val="705848F7"/>
    <w:rsid w:val="70695608"/>
    <w:rsid w:val="708158A8"/>
    <w:rsid w:val="708563E7"/>
    <w:rsid w:val="708A2EFA"/>
    <w:rsid w:val="70D7457B"/>
    <w:rsid w:val="70FE2B1B"/>
    <w:rsid w:val="710366DA"/>
    <w:rsid w:val="71102171"/>
    <w:rsid w:val="71251EAB"/>
    <w:rsid w:val="71280582"/>
    <w:rsid w:val="71443908"/>
    <w:rsid w:val="71767BA9"/>
    <w:rsid w:val="719240DC"/>
    <w:rsid w:val="71A617F5"/>
    <w:rsid w:val="71CF1689"/>
    <w:rsid w:val="71D45FDB"/>
    <w:rsid w:val="71DC1DC3"/>
    <w:rsid w:val="71EF13EC"/>
    <w:rsid w:val="720037E0"/>
    <w:rsid w:val="72307E9B"/>
    <w:rsid w:val="723776B9"/>
    <w:rsid w:val="723C6FE6"/>
    <w:rsid w:val="72675B00"/>
    <w:rsid w:val="7274672F"/>
    <w:rsid w:val="72BA5DEC"/>
    <w:rsid w:val="72BB1D45"/>
    <w:rsid w:val="72D71F6D"/>
    <w:rsid w:val="72DC485D"/>
    <w:rsid w:val="72F0419A"/>
    <w:rsid w:val="730C528C"/>
    <w:rsid w:val="73103064"/>
    <w:rsid w:val="731D0112"/>
    <w:rsid w:val="732B0918"/>
    <w:rsid w:val="73315A5F"/>
    <w:rsid w:val="734F32B4"/>
    <w:rsid w:val="736154DB"/>
    <w:rsid w:val="736A21A7"/>
    <w:rsid w:val="737C3F12"/>
    <w:rsid w:val="738F170E"/>
    <w:rsid w:val="73CA79AA"/>
    <w:rsid w:val="73DA2C89"/>
    <w:rsid w:val="741061B9"/>
    <w:rsid w:val="74555F51"/>
    <w:rsid w:val="74805CED"/>
    <w:rsid w:val="748527D2"/>
    <w:rsid w:val="74980BD6"/>
    <w:rsid w:val="749A0D61"/>
    <w:rsid w:val="74C6370C"/>
    <w:rsid w:val="74D75CB7"/>
    <w:rsid w:val="74E101A1"/>
    <w:rsid w:val="74E36AFB"/>
    <w:rsid w:val="750B14D3"/>
    <w:rsid w:val="75171229"/>
    <w:rsid w:val="75241A48"/>
    <w:rsid w:val="753B6235"/>
    <w:rsid w:val="753C5E12"/>
    <w:rsid w:val="754C75A2"/>
    <w:rsid w:val="759253B8"/>
    <w:rsid w:val="759D13E0"/>
    <w:rsid w:val="75E33CA9"/>
    <w:rsid w:val="75FE1688"/>
    <w:rsid w:val="761C0F14"/>
    <w:rsid w:val="76615ED4"/>
    <w:rsid w:val="768F1066"/>
    <w:rsid w:val="769B64F7"/>
    <w:rsid w:val="76A606E2"/>
    <w:rsid w:val="76C15146"/>
    <w:rsid w:val="76E3019D"/>
    <w:rsid w:val="76FF6F67"/>
    <w:rsid w:val="77060C27"/>
    <w:rsid w:val="77121375"/>
    <w:rsid w:val="7748156F"/>
    <w:rsid w:val="774A252E"/>
    <w:rsid w:val="77581AA8"/>
    <w:rsid w:val="77625E38"/>
    <w:rsid w:val="7793231D"/>
    <w:rsid w:val="77B576D1"/>
    <w:rsid w:val="77E0638F"/>
    <w:rsid w:val="77F50EA0"/>
    <w:rsid w:val="780D4FB8"/>
    <w:rsid w:val="780F1937"/>
    <w:rsid w:val="7812493C"/>
    <w:rsid w:val="781E08EF"/>
    <w:rsid w:val="78326CDB"/>
    <w:rsid w:val="78DA259B"/>
    <w:rsid w:val="78DC3EBE"/>
    <w:rsid w:val="791D4884"/>
    <w:rsid w:val="79243E4D"/>
    <w:rsid w:val="79361073"/>
    <w:rsid w:val="79444F92"/>
    <w:rsid w:val="79637803"/>
    <w:rsid w:val="79754EDE"/>
    <w:rsid w:val="79962469"/>
    <w:rsid w:val="79A01EC9"/>
    <w:rsid w:val="79A37786"/>
    <w:rsid w:val="79AA5728"/>
    <w:rsid w:val="79C0707A"/>
    <w:rsid w:val="79C40109"/>
    <w:rsid w:val="7A2211A3"/>
    <w:rsid w:val="7A406248"/>
    <w:rsid w:val="7A895323"/>
    <w:rsid w:val="7AF2461F"/>
    <w:rsid w:val="7AF36489"/>
    <w:rsid w:val="7B0C637C"/>
    <w:rsid w:val="7B13311B"/>
    <w:rsid w:val="7B37514D"/>
    <w:rsid w:val="7B4D1E6F"/>
    <w:rsid w:val="7B6C13C5"/>
    <w:rsid w:val="7B7F35A7"/>
    <w:rsid w:val="7BA63070"/>
    <w:rsid w:val="7BBD725D"/>
    <w:rsid w:val="7BED75DA"/>
    <w:rsid w:val="7C157F71"/>
    <w:rsid w:val="7C8700E6"/>
    <w:rsid w:val="7C9838F9"/>
    <w:rsid w:val="7C9C3988"/>
    <w:rsid w:val="7CA35304"/>
    <w:rsid w:val="7CA722E8"/>
    <w:rsid w:val="7CAF2272"/>
    <w:rsid w:val="7CC85893"/>
    <w:rsid w:val="7CD132B1"/>
    <w:rsid w:val="7CD62CB7"/>
    <w:rsid w:val="7CDC2114"/>
    <w:rsid w:val="7CE62CF7"/>
    <w:rsid w:val="7CEE274A"/>
    <w:rsid w:val="7D2379CC"/>
    <w:rsid w:val="7D3540BD"/>
    <w:rsid w:val="7D4E0B4C"/>
    <w:rsid w:val="7D752A04"/>
    <w:rsid w:val="7D9F5F86"/>
    <w:rsid w:val="7DA774CB"/>
    <w:rsid w:val="7DC6348F"/>
    <w:rsid w:val="7DEF3C6D"/>
    <w:rsid w:val="7E122E0D"/>
    <w:rsid w:val="7E531D4D"/>
    <w:rsid w:val="7E5A432D"/>
    <w:rsid w:val="7E7D27AD"/>
    <w:rsid w:val="7EA34112"/>
    <w:rsid w:val="7EA97B31"/>
    <w:rsid w:val="7EBD4526"/>
    <w:rsid w:val="7ECA3B2F"/>
    <w:rsid w:val="7EE16A0A"/>
    <w:rsid w:val="7EEF18BB"/>
    <w:rsid w:val="7EF379BC"/>
    <w:rsid w:val="7F032706"/>
    <w:rsid w:val="7F19502E"/>
    <w:rsid w:val="7F1E3B76"/>
    <w:rsid w:val="7F7346E1"/>
    <w:rsid w:val="7F816D28"/>
    <w:rsid w:val="7F8D133C"/>
    <w:rsid w:val="7F8E2E4E"/>
    <w:rsid w:val="7F9A7CFE"/>
    <w:rsid w:val="7FE64714"/>
    <w:rsid w:val="7FF10B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38"/>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6"/>
    <w:qFormat/>
    <w:uiPriority w:val="0"/>
    <w:pPr>
      <w:keepNext/>
      <w:keepLines/>
      <w:spacing w:before="280" w:after="290" w:line="376" w:lineRule="auto"/>
      <w:outlineLvl w:val="3"/>
    </w:pPr>
    <w:rPr>
      <w:rFonts w:ascii="Arial" w:hAnsi="Arial" w:eastAsia="黑体"/>
      <w:b/>
      <w:bCs/>
      <w:sz w:val="28"/>
      <w:szCs w:val="28"/>
    </w:rPr>
  </w:style>
  <w:style w:type="character" w:default="1" w:styleId="29">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next w:val="1"/>
    <w:qFormat/>
    <w:uiPriority w:val="0"/>
    <w:pPr>
      <w:ind w:firstLine="420"/>
    </w:pPr>
  </w:style>
  <w:style w:type="paragraph" w:styleId="7">
    <w:name w:val="annotation subject"/>
    <w:basedOn w:val="8"/>
    <w:next w:val="8"/>
    <w:qFormat/>
    <w:uiPriority w:val="0"/>
  </w:style>
  <w:style w:type="paragraph" w:styleId="8">
    <w:name w:val="annotation text"/>
    <w:basedOn w:val="1"/>
    <w:link w:val="39"/>
    <w:qFormat/>
    <w:uiPriority w:val="0"/>
    <w:pPr>
      <w:jc w:val="left"/>
    </w:pPr>
    <w:rPr>
      <w:rFonts w:ascii="Times New Roman" w:hAnsi="Times New Roman"/>
      <w:szCs w:val="20"/>
    </w:rPr>
  </w:style>
  <w:style w:type="paragraph" w:styleId="9">
    <w:name w:val="toc 7"/>
    <w:basedOn w:val="1"/>
    <w:next w:val="1"/>
    <w:qFormat/>
    <w:uiPriority w:val="39"/>
    <w:pPr>
      <w:ind w:left="1260"/>
      <w:jc w:val="left"/>
    </w:pPr>
    <w:rPr>
      <w:rFonts w:ascii="Calibri" w:hAnsi="Calibri" w:cs="Calibri"/>
      <w:sz w:val="18"/>
      <w:szCs w:val="18"/>
    </w:rPr>
  </w:style>
  <w:style w:type="paragraph" w:styleId="10">
    <w:name w:val="Document Map"/>
    <w:basedOn w:val="1"/>
    <w:qFormat/>
    <w:uiPriority w:val="0"/>
    <w:rPr>
      <w:rFonts w:ascii="宋体" w:cs="宋体"/>
      <w:sz w:val="18"/>
      <w:szCs w:val="18"/>
    </w:rPr>
  </w:style>
  <w:style w:type="paragraph" w:styleId="11">
    <w:name w:val="Body Text 3"/>
    <w:basedOn w:val="1"/>
    <w:link w:val="40"/>
    <w:qFormat/>
    <w:uiPriority w:val="0"/>
    <w:rPr>
      <w:rFonts w:ascii="宋体"/>
      <w:sz w:val="24"/>
      <w:szCs w:val="20"/>
    </w:rPr>
  </w:style>
  <w:style w:type="paragraph" w:styleId="12">
    <w:name w:val="Body Text"/>
    <w:basedOn w:val="1"/>
    <w:qFormat/>
    <w:uiPriority w:val="0"/>
    <w:pPr>
      <w:spacing w:line="360" w:lineRule="auto"/>
    </w:pPr>
    <w:rPr>
      <w:sz w:val="24"/>
    </w:rPr>
  </w:style>
  <w:style w:type="paragraph" w:styleId="13">
    <w:name w:val="Body Text Indent"/>
    <w:basedOn w:val="1"/>
    <w:qFormat/>
    <w:uiPriority w:val="0"/>
    <w:pPr>
      <w:ind w:firstLine="560" w:firstLineChars="200"/>
    </w:pPr>
    <w:rPr>
      <w:rFonts w:ascii="宋体" w:hAnsi="宋体"/>
      <w:bCs/>
      <w:sz w:val="28"/>
      <w:szCs w:val="32"/>
    </w:rPr>
  </w:style>
  <w:style w:type="paragraph" w:styleId="14">
    <w:name w:val="toc 5"/>
    <w:basedOn w:val="1"/>
    <w:next w:val="1"/>
    <w:qFormat/>
    <w:uiPriority w:val="39"/>
    <w:pPr>
      <w:ind w:left="840"/>
      <w:jc w:val="left"/>
    </w:pPr>
    <w:rPr>
      <w:rFonts w:ascii="Calibri" w:hAnsi="Calibri" w:cs="Calibri"/>
      <w:sz w:val="18"/>
      <w:szCs w:val="18"/>
    </w:rPr>
  </w:style>
  <w:style w:type="paragraph" w:styleId="15">
    <w:name w:val="toc 3"/>
    <w:basedOn w:val="1"/>
    <w:next w:val="1"/>
    <w:qFormat/>
    <w:uiPriority w:val="39"/>
    <w:pPr>
      <w:ind w:left="420"/>
      <w:jc w:val="left"/>
    </w:pPr>
    <w:rPr>
      <w:rFonts w:ascii="Calibri" w:hAnsi="Calibri" w:cs="Calibri"/>
      <w:i/>
      <w:iCs/>
      <w:sz w:val="20"/>
      <w:szCs w:val="20"/>
    </w:rPr>
  </w:style>
  <w:style w:type="paragraph" w:styleId="16">
    <w:name w:val="Plain Text"/>
    <w:basedOn w:val="1"/>
    <w:qFormat/>
    <w:uiPriority w:val="0"/>
    <w:rPr>
      <w:rFonts w:ascii="宋体"/>
    </w:rPr>
  </w:style>
  <w:style w:type="paragraph" w:styleId="17">
    <w:name w:val="toc 8"/>
    <w:basedOn w:val="1"/>
    <w:next w:val="1"/>
    <w:qFormat/>
    <w:uiPriority w:val="39"/>
    <w:pPr>
      <w:ind w:left="1470"/>
      <w:jc w:val="left"/>
    </w:pPr>
    <w:rPr>
      <w:rFonts w:ascii="Calibri" w:hAnsi="Calibri" w:cs="Calibri"/>
      <w:sz w:val="18"/>
      <w:szCs w:val="18"/>
    </w:rPr>
  </w:style>
  <w:style w:type="paragraph" w:styleId="18">
    <w:name w:val="Date"/>
    <w:basedOn w:val="1"/>
    <w:next w:val="1"/>
    <w:qFormat/>
    <w:uiPriority w:val="0"/>
    <w:pPr>
      <w:ind w:left="2500" w:leftChars="2500"/>
    </w:pPr>
    <w:rPr>
      <w:rFonts w:ascii="Times New Roman" w:hAnsi="Times New Roman"/>
      <w:szCs w:val="20"/>
    </w:rPr>
  </w:style>
  <w:style w:type="paragraph" w:styleId="19">
    <w:name w:val="Balloon Text"/>
    <w:basedOn w:val="1"/>
    <w:qFormat/>
    <w:uiPriority w:val="0"/>
    <w:rPr>
      <w:rFonts w:ascii="Times New Roman" w:hAnsi="Times New Roman"/>
      <w:sz w:val="18"/>
      <w:szCs w:val="20"/>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link w:val="41"/>
    <w:qFormat/>
    <w:uiPriority w:val="99"/>
    <w:pPr>
      <w:tabs>
        <w:tab w:val="center" w:pos="4153"/>
        <w:tab w:val="right" w:pos="8306"/>
      </w:tabs>
      <w:snapToGrid w:val="0"/>
    </w:pPr>
    <w:rPr>
      <w:rFonts w:ascii="Times New Roman" w:hAnsi="Times New Roman"/>
      <w:sz w:val="18"/>
      <w:szCs w:val="20"/>
    </w:rPr>
  </w:style>
  <w:style w:type="paragraph" w:styleId="22">
    <w:name w:val="toc 1"/>
    <w:basedOn w:val="1"/>
    <w:next w:val="1"/>
    <w:qFormat/>
    <w:uiPriority w:val="39"/>
    <w:pPr>
      <w:spacing w:before="120" w:after="120"/>
      <w:jc w:val="left"/>
    </w:pPr>
    <w:rPr>
      <w:rFonts w:ascii="Calibri" w:hAnsi="Calibri" w:cs="Calibri"/>
      <w:b/>
      <w:bCs/>
      <w:caps/>
      <w:sz w:val="20"/>
      <w:szCs w:val="20"/>
    </w:rPr>
  </w:style>
  <w:style w:type="paragraph" w:styleId="23">
    <w:name w:val="toc 4"/>
    <w:basedOn w:val="1"/>
    <w:next w:val="1"/>
    <w:qFormat/>
    <w:uiPriority w:val="39"/>
    <w:pPr>
      <w:ind w:left="630"/>
      <w:jc w:val="left"/>
    </w:pPr>
    <w:rPr>
      <w:rFonts w:ascii="Calibri" w:hAnsi="Calibri" w:cs="Calibri"/>
      <w:sz w:val="18"/>
      <w:szCs w:val="18"/>
    </w:rPr>
  </w:style>
  <w:style w:type="paragraph" w:styleId="24">
    <w:name w:val="footnote text"/>
    <w:basedOn w:val="1"/>
    <w:qFormat/>
    <w:uiPriority w:val="99"/>
    <w:pPr>
      <w:snapToGrid w:val="0"/>
      <w:jc w:val="left"/>
    </w:pPr>
    <w:rPr>
      <w:sz w:val="18"/>
      <w:szCs w:val="18"/>
    </w:rPr>
  </w:style>
  <w:style w:type="paragraph" w:styleId="25">
    <w:name w:val="toc 6"/>
    <w:basedOn w:val="1"/>
    <w:next w:val="1"/>
    <w:qFormat/>
    <w:uiPriority w:val="39"/>
    <w:pPr>
      <w:ind w:left="1050"/>
      <w:jc w:val="left"/>
    </w:pPr>
    <w:rPr>
      <w:rFonts w:ascii="Calibri" w:hAnsi="Calibri" w:cs="Calibri"/>
      <w:sz w:val="18"/>
      <w:szCs w:val="18"/>
    </w:rPr>
  </w:style>
  <w:style w:type="paragraph" w:styleId="26">
    <w:name w:val="Body Text Indent 3"/>
    <w:basedOn w:val="1"/>
    <w:qFormat/>
    <w:uiPriority w:val="0"/>
    <w:pPr>
      <w:spacing w:after="120"/>
      <w:ind w:left="200" w:leftChars="200"/>
    </w:pPr>
    <w:rPr>
      <w:sz w:val="16"/>
      <w:szCs w:val="16"/>
    </w:rPr>
  </w:style>
  <w:style w:type="paragraph" w:styleId="27">
    <w:name w:val="toc 2"/>
    <w:basedOn w:val="1"/>
    <w:next w:val="1"/>
    <w:qFormat/>
    <w:uiPriority w:val="39"/>
    <w:pPr>
      <w:ind w:left="210"/>
      <w:jc w:val="left"/>
    </w:pPr>
    <w:rPr>
      <w:rFonts w:ascii="Calibri" w:hAnsi="Calibri" w:cs="Calibri"/>
      <w:smallCaps/>
      <w:sz w:val="20"/>
      <w:szCs w:val="20"/>
    </w:rPr>
  </w:style>
  <w:style w:type="paragraph" w:styleId="28">
    <w:name w:val="toc 9"/>
    <w:basedOn w:val="1"/>
    <w:next w:val="1"/>
    <w:qFormat/>
    <w:uiPriority w:val="39"/>
    <w:pPr>
      <w:ind w:left="1680"/>
      <w:jc w:val="left"/>
    </w:pPr>
    <w:rPr>
      <w:rFonts w:ascii="Calibri" w:hAnsi="Calibri" w:cs="Calibri"/>
      <w:sz w:val="18"/>
      <w:szCs w:val="18"/>
    </w:rPr>
  </w:style>
  <w:style w:type="character" w:styleId="30">
    <w:name w:val="Strong"/>
    <w:qFormat/>
    <w:uiPriority w:val="0"/>
    <w:rPr>
      <w:b/>
      <w:bCs/>
    </w:rPr>
  </w:style>
  <w:style w:type="character" w:styleId="31">
    <w:name w:val="page number"/>
    <w:basedOn w:val="29"/>
    <w:qFormat/>
    <w:uiPriority w:val="0"/>
  </w:style>
  <w:style w:type="character" w:styleId="32">
    <w:name w:val="Emphasis"/>
    <w:basedOn w:val="29"/>
    <w:qFormat/>
    <w:uiPriority w:val="0"/>
    <w:rPr>
      <w:i/>
    </w:rPr>
  </w:style>
  <w:style w:type="character" w:styleId="33">
    <w:name w:val="Hyperlink"/>
    <w:qFormat/>
    <w:uiPriority w:val="99"/>
    <w:rPr>
      <w:color w:val="0000FF"/>
      <w:u w:val="single"/>
    </w:rPr>
  </w:style>
  <w:style w:type="character" w:styleId="34">
    <w:name w:val="annotation reference"/>
    <w:qFormat/>
    <w:uiPriority w:val="0"/>
    <w:rPr>
      <w:sz w:val="21"/>
    </w:rPr>
  </w:style>
  <w:style w:type="character" w:styleId="35">
    <w:name w:val="footnote reference"/>
    <w:unhideWhenUsed/>
    <w:qFormat/>
    <w:uiPriority w:val="0"/>
    <w:rPr>
      <w:vertAlign w:val="superscript"/>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8">
    <w:name w:val="标题 3 Char"/>
    <w:basedOn w:val="29"/>
    <w:link w:val="4"/>
    <w:qFormat/>
    <w:uiPriority w:val="0"/>
    <w:rPr>
      <w:rFonts w:ascii="黑体" w:hAnsi="Calibri" w:eastAsia="黑体"/>
      <w:kern w:val="2"/>
      <w:sz w:val="28"/>
    </w:rPr>
  </w:style>
  <w:style w:type="character" w:customStyle="1" w:styleId="39">
    <w:name w:val="批注文字 Char"/>
    <w:basedOn w:val="29"/>
    <w:link w:val="8"/>
    <w:qFormat/>
    <w:uiPriority w:val="0"/>
    <w:rPr>
      <w:rFonts w:eastAsia="宋体"/>
      <w:kern w:val="2"/>
      <w:sz w:val="21"/>
    </w:rPr>
  </w:style>
  <w:style w:type="character" w:customStyle="1" w:styleId="40">
    <w:name w:val="正文文本 3 Char"/>
    <w:basedOn w:val="29"/>
    <w:link w:val="11"/>
    <w:qFormat/>
    <w:uiPriority w:val="0"/>
    <w:rPr>
      <w:rFonts w:ascii="宋体" w:hAnsi="Calibri" w:eastAsia="宋体"/>
      <w:kern w:val="2"/>
      <w:sz w:val="24"/>
    </w:rPr>
  </w:style>
  <w:style w:type="character" w:customStyle="1" w:styleId="41">
    <w:name w:val="页眉 Char"/>
    <w:basedOn w:val="29"/>
    <w:link w:val="21"/>
    <w:qFormat/>
    <w:uiPriority w:val="99"/>
    <w:rPr>
      <w:rFonts w:ascii="Times New Roman" w:hAnsi="Times New Roman" w:eastAsia="宋体" w:cs="Times New Roman"/>
      <w:kern w:val="2"/>
      <w:sz w:val="18"/>
    </w:rPr>
  </w:style>
  <w:style w:type="character" w:customStyle="1" w:styleId="42">
    <w:name w:val="style_kwd"/>
    <w:basedOn w:val="29"/>
    <w:qFormat/>
    <w:uiPriority w:val="0"/>
  </w:style>
  <w:style w:type="character" w:customStyle="1" w:styleId="43">
    <w:name w:val="批注文字 Char1"/>
    <w:qFormat/>
    <w:uiPriority w:val="0"/>
    <w:rPr>
      <w:rFonts w:ascii="Times New Roman" w:hAnsi="Times New Roman" w:eastAsia="宋体" w:cs="Times New Roman"/>
      <w:sz w:val="20"/>
      <w:szCs w:val="20"/>
      <w:lang w:bidi="ar-SA"/>
    </w:rPr>
  </w:style>
  <w:style w:type="character" w:customStyle="1" w:styleId="44">
    <w:name w:val="Comment Text Char"/>
    <w:qFormat/>
    <w:uiPriority w:val="0"/>
  </w:style>
  <w:style w:type="paragraph" w:customStyle="1" w:styleId="45">
    <w:name w:val="修订1"/>
    <w:qFormat/>
    <w:uiPriority w:val="0"/>
    <w:rPr>
      <w:rFonts w:ascii="Times New Roman" w:hAnsi="Times New Roman" w:eastAsia="宋体" w:cs="Times New Roman"/>
      <w:kern w:val="2"/>
      <w:sz w:val="21"/>
      <w:lang w:val="en-US" w:eastAsia="zh-CN" w:bidi="ar-SA"/>
    </w:rPr>
  </w:style>
  <w:style w:type="paragraph" w:customStyle="1" w:styleId="46">
    <w:name w:val="_Style 23"/>
    <w:basedOn w:val="1"/>
    <w:qFormat/>
    <w:uiPriority w:val="0"/>
    <w:pPr>
      <w:widowControl/>
      <w:spacing w:after="160" w:line="240" w:lineRule="exact"/>
      <w:jc w:val="left"/>
    </w:pPr>
  </w:style>
  <w:style w:type="paragraph" w:customStyle="1" w:styleId="47">
    <w:name w:val="TOC 标题1"/>
    <w:basedOn w:val="2"/>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48">
    <w:name w:val="font161"/>
    <w:qFormat/>
    <w:uiPriority w:val="0"/>
    <w:rPr>
      <w:b/>
      <w:bCs/>
      <w:sz w:val="32"/>
      <w:szCs w:val="32"/>
    </w:rPr>
  </w:style>
  <w:style w:type="paragraph" w:customStyle="1" w:styleId="4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customStyle="1" w:styleId="50">
    <w:name w:val="样式 标题 3 + (中文) 黑体 小四 非加粗 段前: 7.8 磅 段后: 0 磅 行距: 固定值 20 磅"/>
    <w:basedOn w:val="4"/>
    <w:qFormat/>
    <w:uiPriority w:val="0"/>
    <w:pPr>
      <w:spacing w:before="0" w:after="0" w:line="400" w:lineRule="exact"/>
      <w:ind w:firstLine="0" w:firstLineChars="0"/>
    </w:pPr>
    <w:rPr>
      <w:rFonts w:ascii="Times New Roman" w:hAnsi="Times New Roman" w:cs="宋体"/>
      <w:sz w:val="24"/>
    </w:rPr>
  </w:style>
  <w:style w:type="paragraph" w:customStyle="1" w:styleId="51">
    <w:name w:val="修订2"/>
    <w:semiHidden/>
    <w:qFormat/>
    <w:uiPriority w:val="99"/>
    <w:rPr>
      <w:rFonts w:ascii="Calibri" w:hAnsi="Calibri" w:eastAsia="宋体" w:cs="Times New Roman"/>
      <w:kern w:val="2"/>
      <w:sz w:val="21"/>
      <w:szCs w:val="22"/>
      <w:lang w:val="en-US" w:eastAsia="zh-CN" w:bidi="ar-SA"/>
    </w:rPr>
  </w:style>
  <w:style w:type="paragraph" w:styleId="52">
    <w:name w:val="List Paragraph"/>
    <w:basedOn w:val="1"/>
    <w:qFormat/>
    <w:uiPriority w:val="99"/>
    <w:pPr>
      <w:ind w:firstLine="420" w:firstLineChars="200"/>
    </w:pPr>
  </w:style>
  <w:style w:type="paragraph" w:customStyle="1" w:styleId="53">
    <w:name w:val="修订3"/>
    <w:semiHidden/>
    <w:qFormat/>
    <w:uiPriority w:val="99"/>
    <w:rPr>
      <w:rFonts w:ascii="Calibri" w:hAnsi="Calibri" w:eastAsia="宋体" w:cs="Times New Roman"/>
      <w:kern w:val="2"/>
      <w:sz w:val="21"/>
      <w:szCs w:val="22"/>
      <w:lang w:val="en-US" w:eastAsia="zh-CN" w:bidi="ar-SA"/>
    </w:rPr>
  </w:style>
  <w:style w:type="paragraph" w:customStyle="1" w:styleId="54">
    <w:name w:val="修订4"/>
    <w:semiHidden/>
    <w:qFormat/>
    <w:uiPriority w:val="99"/>
    <w:rPr>
      <w:rFonts w:ascii="Calibri" w:hAnsi="Calibri" w:eastAsia="宋体" w:cs="Times New Roman"/>
      <w:kern w:val="2"/>
      <w:sz w:val="21"/>
      <w:szCs w:val="22"/>
      <w:lang w:val="en-US" w:eastAsia="zh-CN" w:bidi="ar-SA"/>
    </w:rPr>
  </w:style>
  <w:style w:type="paragraph" w:customStyle="1" w:styleId="55">
    <w:name w:val="修订5"/>
    <w:unhideWhenUsed/>
    <w:qFormat/>
    <w:uiPriority w:val="99"/>
    <w:rPr>
      <w:rFonts w:ascii="Calibri" w:hAnsi="Calibri" w:eastAsia="宋体" w:cs="Times New Roman"/>
      <w:kern w:val="2"/>
      <w:sz w:val="21"/>
      <w:szCs w:val="22"/>
      <w:lang w:val="en-US" w:eastAsia="zh-CN" w:bidi="ar-SA"/>
    </w:rPr>
  </w:style>
  <w:style w:type="paragraph" w:customStyle="1" w:styleId="56">
    <w:name w:val="修订6"/>
    <w:unhideWhenUsed/>
    <w:qFormat/>
    <w:uiPriority w:val="99"/>
    <w:rPr>
      <w:rFonts w:ascii="Calibri" w:hAnsi="Calibri" w:eastAsia="宋体" w:cs="Times New Roman"/>
      <w:kern w:val="2"/>
      <w:sz w:val="21"/>
      <w:szCs w:val="22"/>
      <w:lang w:val="en-US" w:eastAsia="zh-CN" w:bidi="ar-SA"/>
    </w:rPr>
  </w:style>
  <w:style w:type="paragraph" w:customStyle="1" w:styleId="57">
    <w:name w:val="【正文】"/>
    <w:basedOn w:val="1"/>
    <w:qFormat/>
    <w:uiPriority w:val="0"/>
    <w:pPr>
      <w:spacing w:line="360" w:lineRule="auto"/>
      <w:ind w:firstLine="480" w:firstLineChars="200"/>
    </w:pPr>
    <w:rPr>
      <w:rFonts w:ascii="Calibri" w:hAnsi="Calibri"/>
      <w:kern w:val="0"/>
      <w:sz w:val="24"/>
    </w:rPr>
  </w:style>
  <w:style w:type="paragraph" w:customStyle="1" w:styleId="5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9">
    <w:name w:val=" Char"/>
    <w:basedOn w:val="1"/>
    <w:qFormat/>
    <w:uiPriority w:val="0"/>
    <w:rPr>
      <w:rFonts w:ascii="Calibri" w:hAnsi="Calibri"/>
      <w:szCs w:val="22"/>
    </w:rPr>
  </w:style>
  <w:style w:type="paragraph" w:customStyle="1" w:styleId="6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61">
    <w:name w:val="font91"/>
    <w:basedOn w:val="29"/>
    <w:qFormat/>
    <w:uiPriority w:val="0"/>
    <w:rPr>
      <w:rFonts w:hint="eastAsia" w:ascii="宋体" w:hAnsi="宋体" w:eastAsia="宋体" w:cs="宋体"/>
      <w:b/>
      <w:bCs/>
      <w:color w:val="000000"/>
      <w:sz w:val="22"/>
      <w:szCs w:val="22"/>
      <w:u w:val="none"/>
    </w:rPr>
  </w:style>
  <w:style w:type="character" w:customStyle="1" w:styleId="62">
    <w:name w:val="font71"/>
    <w:basedOn w:val="2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55</Pages>
  <Words>15667</Words>
  <Characters>16568</Characters>
  <Lines>300</Lines>
  <Paragraphs>84</Paragraphs>
  <TotalTime>12</TotalTime>
  <ScaleCrop>false</ScaleCrop>
  <LinksUpToDate>false</LinksUpToDate>
  <CharactersWithSpaces>17268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2021-06-04T00:23:00Z</dcterms:created>
  <dc:creator>Lenovo</dc:creator>
  <cp:lastModifiedBy>Administrator</cp:lastModifiedBy>
  <cp:lastPrinted>2019-11-01T08:14:00Z</cp:lastPrinted>
  <dcterms:modified xsi:type="dcterms:W3CDTF">2025-09-13T02:38:24Z</dcterms:modified>
  <dc:title>中华人民共和国</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B5DB4B75ECF747A68E323A6777A12C64_13</vt:lpwstr>
  </property>
  <property fmtid="{D5CDD505-2E9C-101B-9397-08002B2CF9AE}" pid="4" name="KSOTemplateDocerSaveRecord">
    <vt:lpwstr>eyJoZGlkIjoiZDllZmU1ZTViMmVlMDZjYTM5OWM1Njk5NWQ0NjJjZjUifQ==</vt:lpwstr>
  </property>
</Properties>
</file>