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imes New Roman" w:hAnsi="Times New Roman" w:eastAsia="黑体"/>
          <w:sz w:val="52"/>
          <w:szCs w:val="52"/>
          <w:highlight w:val="none"/>
          <w:u w:val="single"/>
          <w:lang w:val="en-US" w:eastAsia="zh-CN"/>
        </w:rPr>
      </w:pPr>
      <w:r>
        <w:rPr>
          <w:rFonts w:hint="eastAsia" w:ascii="Times New Roman" w:hAnsi="Times New Roman" w:eastAsia="黑体"/>
          <w:color w:val="000000"/>
          <w:sz w:val="52"/>
          <w:szCs w:val="52"/>
          <w:highlight w:val="none"/>
          <w:u w:val="single"/>
          <w:lang w:eastAsia="zh-CN"/>
        </w:rPr>
        <w:t>手持式绝缘检测仪采购项目</w:t>
      </w:r>
    </w:p>
    <w:p>
      <w:pPr>
        <w:jc w:val="center"/>
        <w:rPr>
          <w:rFonts w:ascii="Times New Roman" w:hAnsi="Times New Roman" w:eastAsia="黑体"/>
          <w:sz w:val="52"/>
          <w:szCs w:val="52"/>
          <w:highlight w:val="none"/>
        </w:rPr>
      </w:pPr>
    </w:p>
    <w:p>
      <w:pPr>
        <w:jc w:val="center"/>
        <w:rPr>
          <w:rFonts w:ascii="Times New Roman" w:hAnsi="Times New Roman" w:eastAsia="黑体"/>
          <w:color w:val="000000"/>
          <w:sz w:val="52"/>
          <w:szCs w:val="52"/>
          <w:highlight w:val="none"/>
        </w:rPr>
      </w:pPr>
      <w:r>
        <w:rPr>
          <w:rFonts w:hint="eastAsia" w:ascii="Times New Roman" w:hAnsi="Times New Roman" w:eastAsia="黑体"/>
          <w:color w:val="000000"/>
          <w:sz w:val="52"/>
          <w:szCs w:val="52"/>
          <w:highlight w:val="none"/>
        </w:rPr>
        <w:t>询比采购</w:t>
      </w:r>
      <w:r>
        <w:rPr>
          <w:rFonts w:ascii="Times New Roman" w:hAnsi="Times New Roman" w:eastAsia="黑体"/>
          <w:color w:val="000000"/>
          <w:sz w:val="52"/>
          <w:szCs w:val="52"/>
          <w:highlight w:val="none"/>
        </w:rPr>
        <w:t>文件</w:t>
      </w:r>
    </w:p>
    <w:p>
      <w:pPr>
        <w:spacing w:line="400" w:lineRule="exact"/>
        <w:rPr>
          <w:rFonts w:ascii="Times New Roman" w:hAnsi="Times New Roman"/>
          <w:color w:val="000000"/>
          <w:highlight w:val="none"/>
        </w:rPr>
      </w:pPr>
    </w:p>
    <w:p>
      <w:pPr>
        <w:spacing w:line="400" w:lineRule="exact"/>
        <w:rPr>
          <w:rFonts w:ascii="Times New Roman" w:hAnsi="Times New Roman"/>
          <w:color w:val="000000"/>
          <w:highlight w:val="none"/>
        </w:rPr>
      </w:pPr>
      <w:r>
        <w:rPr>
          <w:highlight w:val="none"/>
        </w:rPr>
        <w:drawing>
          <wp:anchor distT="0" distB="0" distL="114300" distR="114300" simplePos="0" relativeHeight="251659264" behindDoc="1" locked="0" layoutInCell="1" allowOverlap="1">
            <wp:simplePos x="0" y="0"/>
            <wp:positionH relativeFrom="column">
              <wp:posOffset>177800</wp:posOffset>
            </wp:positionH>
            <wp:positionV relativeFrom="paragraph">
              <wp:posOffset>67945</wp:posOffset>
            </wp:positionV>
            <wp:extent cx="5006975" cy="4948555"/>
            <wp:effectExtent l="0" t="0" r="3175" b="4445"/>
            <wp:wrapThrough wrapText="bothSides">
              <wp:wrapPolygon>
                <wp:start x="21592" y="-2"/>
                <wp:lineTo x="0" y="0"/>
                <wp:lineTo x="0" y="21600"/>
                <wp:lineTo x="21592" y="21602"/>
                <wp:lineTo x="8" y="21602"/>
                <wp:lineTo x="21600" y="21600"/>
                <wp:lineTo x="21600" y="0"/>
                <wp:lineTo x="8" y="-2"/>
                <wp:lineTo x="21592" y="-2"/>
              </wp:wrapPolygon>
            </wp:wrapThrough>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006975" cy="4948555"/>
                    </a:xfrm>
                    <a:prstGeom prst="rect">
                      <a:avLst/>
                    </a:prstGeom>
                    <a:noFill/>
                    <a:ln>
                      <a:noFill/>
                    </a:ln>
                  </pic:spPr>
                </pic:pic>
              </a:graphicData>
            </a:graphic>
          </wp:anchor>
        </w:drawing>
      </w:r>
    </w:p>
    <w:p>
      <w:pPr>
        <w:spacing w:line="400" w:lineRule="exact"/>
        <w:rPr>
          <w:rFonts w:ascii="Times New Roman" w:hAnsi="Times New Roman"/>
          <w:color w:val="000000"/>
          <w:highlight w:val="none"/>
        </w:rPr>
      </w:pPr>
    </w:p>
    <w:p>
      <w:pPr>
        <w:spacing w:line="360" w:lineRule="auto"/>
        <w:ind w:firstLine="2240" w:firstLineChars="700"/>
        <w:jc w:val="left"/>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rPr>
        <w:t>采购人</w:t>
      </w:r>
      <w:r>
        <w:rPr>
          <w:rFonts w:ascii="Times New Roman" w:hAnsi="Times New Roman" w:eastAsia="黑体"/>
          <w:color w:val="000000"/>
          <w:sz w:val="32"/>
          <w:szCs w:val="32"/>
          <w:highlight w:val="none"/>
        </w:rPr>
        <w:t>：</w:t>
      </w:r>
      <w:r>
        <w:rPr>
          <w:rFonts w:hint="eastAsia" w:ascii="Times New Roman" w:hAnsi="Times New Roman" w:eastAsia="黑体" w:cs="Times New Roman"/>
          <w:color w:val="000000"/>
          <w:sz w:val="32"/>
          <w:szCs w:val="32"/>
          <w:highlight w:val="none"/>
          <w:lang w:eastAsia="zh-CN"/>
        </w:rPr>
        <w:t>郎溪县中医院</w:t>
      </w:r>
    </w:p>
    <w:p>
      <w:pPr>
        <w:pStyle w:val="3"/>
        <w:spacing w:line="240" w:lineRule="auto"/>
        <w:jc w:val="center"/>
        <w:rPr>
          <w:color w:val="auto"/>
          <w:highlight w:val="none"/>
        </w:rPr>
      </w:pPr>
      <w:bookmarkStart w:id="0" w:name="_Toc501460631"/>
      <w:bookmarkStart w:id="1" w:name="_Toc16974"/>
      <w:bookmarkStart w:id="2" w:name="_Toc144974479"/>
      <w:bookmarkStart w:id="3" w:name="_Toc152042287"/>
      <w:bookmarkStart w:id="4" w:name="_Toc152045511"/>
    </w:p>
    <w:p>
      <w:pPr>
        <w:pStyle w:val="3"/>
        <w:spacing w:line="240" w:lineRule="auto"/>
        <w:jc w:val="center"/>
        <w:rPr>
          <w:color w:val="auto"/>
          <w:highlight w:val="none"/>
        </w:rPr>
      </w:pPr>
      <w:r>
        <w:rPr>
          <w:color w:val="auto"/>
          <w:highlight w:val="none"/>
        </w:rPr>
        <w:t>第一章</w:t>
      </w:r>
      <w:r>
        <w:rPr>
          <w:rFonts w:hint="eastAsia"/>
          <w:color w:val="auto"/>
          <w:highlight w:val="none"/>
        </w:rPr>
        <w:t xml:space="preserve">  询比采购</w:t>
      </w:r>
      <w:r>
        <w:rPr>
          <w:color w:val="auto"/>
          <w:highlight w:val="none"/>
        </w:rPr>
        <w:t>公告</w:t>
      </w:r>
      <w:bookmarkEnd w:id="0"/>
      <w:bookmarkEnd w:id="1"/>
    </w:p>
    <w:p>
      <w:pPr>
        <w:spacing w:line="440" w:lineRule="exact"/>
        <w:jc w:val="center"/>
        <w:rPr>
          <w:rFonts w:ascii="Times New Roman" w:hAnsi="Times New Roman" w:eastAsia="黑体"/>
          <w:color w:val="auto"/>
          <w:sz w:val="28"/>
          <w:highlight w:val="none"/>
        </w:rPr>
      </w:pPr>
      <w:r>
        <w:rPr>
          <w:rFonts w:hint="eastAsia" w:ascii="Times New Roman" w:hAnsi="Times New Roman" w:eastAsia="黑体"/>
          <w:color w:val="auto"/>
          <w:sz w:val="28"/>
          <w:szCs w:val="28"/>
          <w:highlight w:val="none"/>
          <w:u w:val="single"/>
          <w:lang w:eastAsia="zh-CN"/>
        </w:rPr>
        <w:t>手持式绝缘检测仪采购项目</w:t>
      </w:r>
      <w:r>
        <w:rPr>
          <w:rFonts w:hint="eastAsia" w:ascii="Times New Roman" w:hAnsi="Times New Roman" w:eastAsia="黑体"/>
          <w:color w:val="auto"/>
          <w:sz w:val="28"/>
          <w:szCs w:val="28"/>
          <w:highlight w:val="none"/>
        </w:rPr>
        <w:t>询比</w:t>
      </w:r>
      <w:r>
        <w:rPr>
          <w:rFonts w:ascii="Times New Roman" w:hAnsi="Times New Roman" w:eastAsia="黑体"/>
          <w:color w:val="auto"/>
          <w:sz w:val="28"/>
          <w:szCs w:val="28"/>
          <w:highlight w:val="none"/>
        </w:rPr>
        <w:t>采购</w:t>
      </w:r>
      <w:r>
        <w:rPr>
          <w:rFonts w:ascii="Times New Roman" w:hAnsi="Times New Roman" w:eastAsia="黑体"/>
          <w:color w:val="auto"/>
          <w:sz w:val="28"/>
          <w:highlight w:val="none"/>
        </w:rPr>
        <w:t>公告</w:t>
      </w:r>
    </w:p>
    <w:p>
      <w:pPr>
        <w:spacing w:line="400" w:lineRule="exact"/>
        <w:ind w:firstLine="420" w:firstLineChars="200"/>
        <w:jc w:val="left"/>
        <w:rPr>
          <w:rFonts w:ascii="Times New Roman" w:hAnsi="Times New Roman"/>
          <w:color w:val="auto"/>
          <w:highlight w:val="none"/>
        </w:rPr>
      </w:pPr>
    </w:p>
    <w:p>
      <w:pPr>
        <w:spacing w:line="400" w:lineRule="exact"/>
        <w:ind w:firstLine="420" w:firstLineChars="200"/>
        <w:jc w:val="left"/>
        <w:rPr>
          <w:rFonts w:ascii="Times New Roman" w:hAnsi="Times New Roman"/>
          <w:color w:val="auto"/>
          <w:highlight w:val="none"/>
        </w:rPr>
      </w:pPr>
      <w:r>
        <w:rPr>
          <w:rFonts w:hint="eastAsia" w:ascii="Times New Roman" w:hAnsi="Times New Roman" w:eastAsia="黑体"/>
          <w:color w:val="auto"/>
          <w:sz w:val="21"/>
          <w:szCs w:val="21"/>
          <w:highlight w:val="none"/>
          <w:u w:val="single"/>
          <w:lang w:eastAsia="zh-CN"/>
        </w:rPr>
        <w:t>手持式绝缘检测仪采购项目</w:t>
      </w:r>
      <w:r>
        <w:rPr>
          <w:rFonts w:hint="eastAsia" w:ascii="Times New Roman" w:hAnsi="Times New Roman"/>
          <w:color w:val="auto"/>
          <w:highlight w:val="none"/>
        </w:rPr>
        <w:t>已具备采购条件，现公开邀请供应商参加询比采购活动。</w:t>
      </w:r>
    </w:p>
    <w:p>
      <w:pPr>
        <w:pStyle w:val="4"/>
        <w:spacing w:line="240" w:lineRule="auto"/>
        <w:rPr>
          <w:rFonts w:ascii="Times New Roman" w:hAnsi="Times New Roman"/>
          <w:color w:val="auto"/>
          <w:highlight w:val="none"/>
        </w:rPr>
      </w:pPr>
      <w:bookmarkStart w:id="5" w:name="_Toc8536"/>
      <w:bookmarkStart w:id="6" w:name="_Toc501460632"/>
      <w:r>
        <w:rPr>
          <w:rFonts w:ascii="Times New Roman" w:hAnsi="Times New Roman"/>
          <w:color w:val="auto"/>
          <w:highlight w:val="none"/>
        </w:rPr>
        <w:t xml:space="preserve">1. </w:t>
      </w:r>
      <w:r>
        <w:rPr>
          <w:rFonts w:hint="eastAsia" w:ascii="Times New Roman" w:hAnsi="Times New Roman"/>
          <w:color w:val="auto"/>
          <w:highlight w:val="none"/>
        </w:rPr>
        <w:t>采购项目简介</w:t>
      </w:r>
      <w:bookmarkEnd w:id="5"/>
      <w:bookmarkEnd w:id="6"/>
    </w:p>
    <w:p>
      <w:pPr>
        <w:spacing w:line="400" w:lineRule="exact"/>
        <w:ind w:firstLine="420" w:firstLineChars="200"/>
        <w:rPr>
          <w:rFonts w:ascii="Times New Roman" w:hAnsi="Times New Roman"/>
          <w:color w:val="auto"/>
          <w:highlight w:val="none"/>
          <w:u w:val="single"/>
        </w:rPr>
      </w:pPr>
      <w:bookmarkStart w:id="7" w:name="_Toc501460633"/>
      <w:r>
        <w:rPr>
          <w:rFonts w:hint="eastAsia" w:ascii="Times New Roman" w:hAnsi="Times New Roman"/>
          <w:color w:val="auto"/>
          <w:highlight w:val="none"/>
        </w:rPr>
        <w:t>1</w:t>
      </w:r>
      <w:r>
        <w:rPr>
          <w:rFonts w:ascii="Times New Roman" w:hAnsi="Times New Roman"/>
          <w:color w:val="auto"/>
          <w:highlight w:val="none"/>
        </w:rPr>
        <w:t xml:space="preserve">.1 </w:t>
      </w:r>
      <w:r>
        <w:rPr>
          <w:rFonts w:hint="eastAsia" w:ascii="Times New Roman" w:hAnsi="Times New Roman"/>
          <w:color w:val="auto"/>
          <w:highlight w:val="none"/>
        </w:rPr>
        <w:t>采购项目名称：</w:t>
      </w:r>
      <w:r>
        <w:rPr>
          <w:rFonts w:hint="eastAsia" w:ascii="Times New Roman" w:hAnsi="Times New Roman"/>
          <w:color w:val="auto"/>
          <w:highlight w:val="none"/>
          <w:u w:val="single"/>
          <w:lang w:eastAsia="zh-CN"/>
        </w:rPr>
        <w:t>手持式绝缘检测仪采购项目</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1.2 采购人：</w:t>
      </w:r>
      <w:r>
        <w:rPr>
          <w:rFonts w:hint="eastAsia" w:ascii="Times New Roman" w:hAnsi="Times New Roman"/>
          <w:color w:val="auto"/>
          <w:highlight w:val="none"/>
          <w:u w:val="single"/>
          <w:lang w:eastAsia="zh-CN"/>
        </w:rPr>
        <w:t>郎溪县中医院</w:t>
      </w:r>
    </w:p>
    <w:p>
      <w:pPr>
        <w:spacing w:line="40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3</w:t>
      </w:r>
      <w:r>
        <w:rPr>
          <w:rFonts w:hint="eastAsia" w:ascii="Times New Roman" w:hAnsi="Times New Roman"/>
          <w:color w:val="auto"/>
          <w:highlight w:val="none"/>
        </w:rPr>
        <w:t>采购项目</w:t>
      </w:r>
      <w:r>
        <w:rPr>
          <w:rFonts w:ascii="Times New Roman" w:hAnsi="Times New Roman"/>
          <w:color w:val="auto"/>
          <w:highlight w:val="none"/>
        </w:rPr>
        <w:t>资金</w:t>
      </w:r>
      <w:r>
        <w:rPr>
          <w:rFonts w:hint="eastAsia" w:ascii="Times New Roman" w:hAnsi="Times New Roman"/>
          <w:color w:val="auto"/>
          <w:highlight w:val="none"/>
        </w:rPr>
        <w:t>落实情况：</w:t>
      </w:r>
      <w:r>
        <w:rPr>
          <w:rFonts w:hint="eastAsia" w:ascii="Times New Roman" w:hAnsi="Times New Roman"/>
          <w:color w:val="auto"/>
          <w:highlight w:val="none"/>
          <w:u w:val="single"/>
          <w:lang w:val="en-US" w:eastAsia="zh-CN"/>
        </w:rPr>
        <w:t>已落实</w:t>
      </w:r>
    </w:p>
    <w:p>
      <w:pPr>
        <w:spacing w:line="400" w:lineRule="exact"/>
        <w:ind w:firstLine="420" w:firstLineChars="200"/>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采购项目概况：</w:t>
      </w:r>
      <w:r>
        <w:rPr>
          <w:rFonts w:hint="eastAsia" w:ascii="Times New Roman" w:hAnsi="Times New Roman"/>
          <w:color w:val="auto"/>
          <w:highlight w:val="none"/>
          <w:u w:val="single"/>
          <w:lang w:val="en-US" w:eastAsia="zh-CN"/>
        </w:rPr>
        <w:t>手持式绝缘检测仪采购项目，郎溪县中医院拟选择一家供应商，采购一台手持式绝缘检测仪，具体详见询比文件。</w:t>
      </w:r>
    </w:p>
    <w:p>
      <w:pPr>
        <w:adjustRightInd w:val="0"/>
        <w:snapToGrid w:val="0"/>
        <w:spacing w:line="400" w:lineRule="exact"/>
        <w:ind w:firstLine="420" w:firstLineChars="200"/>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1.6成交供应商数量及成交份额：</w:t>
      </w:r>
      <w:r>
        <w:rPr>
          <w:rFonts w:ascii="Times New Roman" w:hAnsi="Times New Roman" w:eastAsia="宋体" w:cs="Times New Roman"/>
          <w:color w:val="auto"/>
          <w:highlight w:val="none"/>
          <w:u w:val="single"/>
        </w:rPr>
        <w:t>一家</w:t>
      </w:r>
    </w:p>
    <w:p>
      <w:pPr>
        <w:adjustRightInd w:val="0"/>
        <w:snapToGrid w:val="0"/>
        <w:spacing w:line="400" w:lineRule="exact"/>
        <w:ind w:firstLine="420" w:firstLineChars="200"/>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eastAsia="zh-CN"/>
        </w:rPr>
        <w:t xml:space="preserve">1.7 </w:t>
      </w:r>
      <w:r>
        <w:rPr>
          <w:rFonts w:hint="eastAsia" w:ascii="Times New Roman" w:hAnsi="Times New Roman" w:eastAsia="宋体" w:cs="Times New Roman"/>
          <w:color w:val="auto"/>
          <w:highlight w:val="none"/>
        </w:rPr>
        <w:t>预算金额：</w:t>
      </w:r>
      <w:r>
        <w:rPr>
          <w:rFonts w:hint="eastAsia" w:ascii="Times New Roman" w:hAnsi="Times New Roman"/>
          <w:color w:val="auto"/>
          <w:highlight w:val="none"/>
          <w:u w:val="single"/>
          <w:lang w:val="en-US" w:eastAsia="zh-CN"/>
        </w:rPr>
        <w:t>0.98万元</w:t>
      </w:r>
    </w:p>
    <w:p>
      <w:pPr>
        <w:adjustRightInd w:val="0"/>
        <w:snapToGrid w:val="0"/>
        <w:spacing w:line="400" w:lineRule="exact"/>
        <w:ind w:firstLine="420" w:firstLineChars="200"/>
        <w:rPr>
          <w:color w:val="auto"/>
          <w:highlight w:val="none"/>
          <w:u w:val="single"/>
        </w:rPr>
      </w:pPr>
      <w:r>
        <w:rPr>
          <w:rFonts w:hint="eastAsia" w:ascii="Times New Roman" w:hAnsi="Times New Roman" w:eastAsia="宋体" w:cs="Times New Roman"/>
          <w:color w:val="auto"/>
          <w:highlight w:val="none"/>
          <w:lang w:val="en-US" w:eastAsia="zh-CN"/>
        </w:rPr>
        <w:t xml:space="preserve">1.8 </w:t>
      </w:r>
      <w:r>
        <w:rPr>
          <w:rFonts w:hint="eastAsia" w:ascii="Times New Roman" w:hAnsi="Times New Roman" w:eastAsia="宋体" w:cs="Times New Roman"/>
          <w:color w:val="auto"/>
          <w:highlight w:val="none"/>
        </w:rPr>
        <w:t>最高限价：</w:t>
      </w:r>
      <w:r>
        <w:rPr>
          <w:rFonts w:hint="eastAsia" w:ascii="Times New Roman" w:hAnsi="Times New Roman" w:cs="Times New Roman"/>
          <w:color w:val="auto"/>
          <w:highlight w:val="none"/>
          <w:lang w:val="en-US" w:eastAsia="zh-CN"/>
        </w:rPr>
        <w:t>0.98</w:t>
      </w:r>
      <w:r>
        <w:rPr>
          <w:rFonts w:hint="eastAsia" w:ascii="Times New Roman" w:hAnsi="Times New Roman"/>
          <w:color w:val="auto"/>
          <w:highlight w:val="none"/>
          <w:u w:val="single"/>
          <w:lang w:val="en-US" w:eastAsia="zh-CN"/>
        </w:rPr>
        <w:t>万元</w:t>
      </w:r>
    </w:p>
    <w:bookmarkEnd w:id="7"/>
    <w:p>
      <w:pPr>
        <w:pStyle w:val="4"/>
        <w:spacing w:line="240" w:lineRule="auto"/>
        <w:rPr>
          <w:rFonts w:ascii="Times New Roman" w:hAnsi="Times New Roman"/>
          <w:color w:val="auto"/>
          <w:highlight w:val="none"/>
        </w:rPr>
      </w:pPr>
      <w:bookmarkStart w:id="8" w:name="_Toc5181"/>
      <w:bookmarkStart w:id="9" w:name="_Toc501460653"/>
      <w:r>
        <w:rPr>
          <w:rFonts w:ascii="Times New Roman" w:hAnsi="Times New Roman"/>
          <w:color w:val="auto"/>
          <w:highlight w:val="none"/>
        </w:rPr>
        <w:t xml:space="preserve">2. </w:t>
      </w:r>
      <w:r>
        <w:rPr>
          <w:rFonts w:hint="eastAsia" w:ascii="Times New Roman" w:hAnsi="Times New Roman"/>
          <w:color w:val="auto"/>
          <w:highlight w:val="none"/>
        </w:rPr>
        <w:t>采购范围及相关要求</w:t>
      </w:r>
      <w:bookmarkEnd w:id="8"/>
      <w:bookmarkEnd w:id="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 </w:t>
      </w:r>
      <w:r>
        <w:rPr>
          <w:rFonts w:hint="eastAsia" w:ascii="Times New Roman" w:hAnsi="Times New Roman"/>
          <w:color w:val="auto"/>
          <w:highlight w:val="none"/>
        </w:rPr>
        <w:t>采购范围：</w:t>
      </w:r>
    </w:p>
    <w:tbl>
      <w:tblPr>
        <w:tblStyle w:val="3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52"/>
        <w:gridCol w:w="2004"/>
        <w:gridCol w:w="1668"/>
        <w:gridCol w:w="1620"/>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720" w:type="dxa"/>
            <w:gridSpan w:val="6"/>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sz w:val="32"/>
                <w:szCs w:val="32"/>
                <w:highlight w:val="none"/>
                <w:u w:val="none"/>
                <w:lang w:val="en-US"/>
              </w:rPr>
            </w:pPr>
            <w:r>
              <w:rPr>
                <w:rFonts w:hint="eastAsia" w:ascii="黑体" w:hAnsi="黑体" w:eastAsia="黑体" w:cs="Times New Roman"/>
                <w:sz w:val="30"/>
                <w:szCs w:val="30"/>
                <w:highlight w:val="none"/>
                <w:lang w:val="en-US" w:eastAsia="zh-CN"/>
              </w:rPr>
              <w:t>手持式绝缘检测仪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135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名称</w:t>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参考规格</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单位</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质保期</w:t>
            </w:r>
          </w:p>
        </w:tc>
        <w:tc>
          <w:tcPr>
            <w:tcW w:w="149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352"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fldChar w:fldCharType="begin"/>
            </w:r>
            <w:r>
              <w:rPr>
                <w:highlight w:val="none"/>
              </w:rPr>
              <w:instrText xml:space="preserve"> LINK Word.Document.8 "C:\\Users\\88469\\AppData\\Local\\Temp\\716询比采购文件.doc" "OLE_LINK1" \t \a  \* MERGEFORMAT</w:instrText>
            </w:r>
            <w:r>
              <w:rPr>
                <w:rFonts w:hint="eastAsia" w:ascii="宋体" w:hAnsi="宋体" w:eastAsia="宋体" w:cs="宋体"/>
                <w:i w:val="0"/>
                <w:iCs w:val="0"/>
                <w:color w:val="auto"/>
                <w:kern w:val="0"/>
                <w:sz w:val="22"/>
                <w:szCs w:val="22"/>
                <w:highlight w:val="none"/>
                <w:u w:val="none"/>
                <w:lang w:val="en-US" w:eastAsia="zh-CN" w:bidi="ar"/>
              </w:rPr>
              <w:fldChar w:fldCharType="separate"/>
            </w:r>
            <w:r>
              <w:rPr>
                <w:rFonts w:hint="eastAsia"/>
                <w:highlight w:val="none"/>
                <w:lang w:eastAsia="zh-CN"/>
              </w:rPr>
              <w:t>手持式绝缘检测仪</w:t>
            </w:r>
            <w:r>
              <w:rPr>
                <w:rFonts w:hint="eastAsia" w:ascii="宋体" w:hAnsi="宋体" w:eastAsia="宋体" w:cs="宋体"/>
                <w:i w:val="0"/>
                <w:iCs w:val="0"/>
                <w:color w:val="auto"/>
                <w:kern w:val="0"/>
                <w:sz w:val="22"/>
                <w:szCs w:val="22"/>
                <w:highlight w:val="none"/>
                <w:u w:val="none"/>
                <w:lang w:val="en-US" w:eastAsia="zh-CN" w:bidi="ar"/>
              </w:rPr>
              <w:fldChar w:fldCharType="end"/>
            </w:r>
          </w:p>
        </w:tc>
        <w:tc>
          <w:tcPr>
            <w:tcW w:w="2004"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详见采购需求</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台</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年</w:t>
            </w:r>
          </w:p>
        </w:tc>
        <w:tc>
          <w:tcPr>
            <w:tcW w:w="1498" w:type="dxa"/>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本次</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范围包括</w:t>
      </w:r>
      <w:r>
        <w:rPr>
          <w:rFonts w:hint="eastAsia" w:ascii="Times New Roman" w:hAnsi="Times New Roman" w:eastAsia="宋体" w:cs="Times New Roman"/>
          <w:b/>
          <w:bCs/>
          <w:color w:val="auto"/>
          <w:highlight w:val="none"/>
          <w:lang w:val="en-US" w:eastAsia="zh-CN"/>
        </w:rPr>
        <w:t>询比</w:t>
      </w:r>
      <w:r>
        <w:rPr>
          <w:rFonts w:hint="eastAsia" w:ascii="Times New Roman" w:hAnsi="Times New Roman" w:eastAsia="宋体" w:cs="Times New Roman"/>
          <w:b/>
          <w:bCs/>
          <w:color w:val="auto"/>
          <w:highlight w:val="none"/>
        </w:rPr>
        <w:t>医疗设备的供货、包装运输（包括装卸至指定地点）、保险、安装（或组装）、检测、验收、培训、税金、技术服务、售后服务等内容。</w:t>
      </w:r>
    </w:p>
    <w:p>
      <w:pPr>
        <w:spacing w:line="400" w:lineRule="exact"/>
        <w:ind w:firstLine="422" w:firstLineChars="20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投标人可对上述所有标包进行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，也可只对其中一个或几个标包进行</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标，不限制</w:t>
      </w:r>
      <w:r>
        <w:rPr>
          <w:rFonts w:hint="eastAsia" w:ascii="Times New Roman" w:hAnsi="Times New Roman" w:eastAsia="宋体" w:cs="Times New Roman"/>
          <w:b/>
          <w:bCs/>
          <w:color w:val="auto"/>
          <w:highlight w:val="none"/>
          <w:lang w:val="en-US" w:eastAsia="zh-CN"/>
        </w:rPr>
        <w:t>成交</w:t>
      </w:r>
      <w:r>
        <w:rPr>
          <w:rFonts w:hint="eastAsia" w:ascii="Times New Roman" w:hAnsi="Times New Roman" w:eastAsia="宋体" w:cs="Times New Roman"/>
          <w:b/>
          <w:bCs/>
          <w:color w:val="auto"/>
          <w:highlight w:val="none"/>
        </w:rPr>
        <w:t>数量。</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.2 交货期：</w:t>
      </w:r>
      <w:r>
        <w:rPr>
          <w:rFonts w:hint="eastAsia" w:ascii="Times New Roman" w:hAnsi="Times New Roman"/>
          <w:color w:val="auto"/>
          <w:highlight w:val="none"/>
          <w:u w:val="single"/>
          <w:lang w:eastAsia="zh-CN"/>
        </w:rPr>
        <w:t>合同签订后</w:t>
      </w:r>
      <w:r>
        <w:rPr>
          <w:rFonts w:hint="eastAsia" w:ascii="Times New Roman" w:hAnsi="Times New Roman"/>
          <w:color w:val="auto"/>
          <w:highlight w:val="none"/>
          <w:u w:val="single"/>
          <w:lang w:val="en-US" w:eastAsia="zh-CN"/>
        </w:rPr>
        <w:t>10日历天完成供货、安装、调试完成并经验收合格，并对采购的设备进行至少1年的质保期。</w:t>
      </w:r>
    </w:p>
    <w:p>
      <w:pPr>
        <w:spacing w:line="400" w:lineRule="exact"/>
        <w:ind w:firstLine="420" w:firstLineChars="200"/>
        <w:rPr>
          <w:rFonts w:hint="default" w:ascii="Times New Roman" w:hAnsi="Times New Roman" w:eastAsia="宋体"/>
          <w:color w:val="auto"/>
          <w:highlight w:val="none"/>
          <w:lang w:val="en-US" w:eastAsia="zh-CN"/>
        </w:rPr>
      </w:pPr>
      <w:r>
        <w:rPr>
          <w:rFonts w:hint="eastAsia" w:ascii="Times New Roman" w:hAnsi="Times New Roman"/>
          <w:color w:val="auto"/>
          <w:highlight w:val="none"/>
        </w:rPr>
        <w:t>2</w:t>
      </w:r>
      <w:r>
        <w:rPr>
          <w:rFonts w:ascii="Times New Roman" w:hAnsi="Times New Roman"/>
          <w:color w:val="auto"/>
          <w:highlight w:val="none"/>
        </w:rPr>
        <w:t>.3 交货地点：</w:t>
      </w:r>
      <w:r>
        <w:rPr>
          <w:rFonts w:hint="eastAsia" w:ascii="Times New Roman" w:hAnsi="Times New Roman"/>
          <w:color w:val="auto"/>
          <w:highlight w:val="none"/>
          <w:u w:val="single"/>
          <w:lang w:val="en-US" w:eastAsia="zh-CN"/>
        </w:rPr>
        <w:t>郎溪县中医院</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.4 </w:t>
      </w:r>
      <w:r>
        <w:rPr>
          <w:rFonts w:hint="eastAsia" w:ascii="Times New Roman" w:hAnsi="Times New Roman"/>
          <w:color w:val="auto"/>
          <w:highlight w:val="none"/>
        </w:rPr>
        <w:t>货物质量标准或主要技术性能指标</w:t>
      </w:r>
      <w:r>
        <w:rPr>
          <w:rFonts w:ascii="Times New Roman" w:hAnsi="Times New Roman"/>
          <w:color w:val="auto"/>
          <w:highlight w:val="none"/>
        </w:rPr>
        <w:t>：</w:t>
      </w:r>
      <w:r>
        <w:rPr>
          <w:rFonts w:hint="eastAsia" w:ascii="Times New Roman" w:hAnsi="Times New Roman"/>
          <w:color w:val="auto"/>
          <w:highlight w:val="none"/>
          <w:u w:val="single"/>
          <w:lang w:eastAsia="zh-CN"/>
        </w:rPr>
        <w:t>合格，满足采购人要求。</w:t>
      </w:r>
    </w:p>
    <w:p>
      <w:pPr>
        <w:pStyle w:val="4"/>
        <w:spacing w:line="240" w:lineRule="auto"/>
        <w:rPr>
          <w:rFonts w:ascii="Times New Roman" w:hAnsi="Times New Roman"/>
          <w:color w:val="auto"/>
          <w:highlight w:val="none"/>
        </w:rPr>
      </w:pPr>
      <w:bookmarkStart w:id="10" w:name="_Toc501460634"/>
      <w:bookmarkStart w:id="11" w:name="_Toc11700"/>
      <w:r>
        <w:rPr>
          <w:rFonts w:ascii="Times New Roman" w:hAnsi="Times New Roman"/>
          <w:color w:val="auto"/>
          <w:highlight w:val="none"/>
        </w:rPr>
        <w:t xml:space="preserve">3. </w:t>
      </w:r>
      <w:r>
        <w:rPr>
          <w:rFonts w:hint="eastAsia" w:ascii="Times New Roman" w:hAnsi="Times New Roman"/>
          <w:color w:val="auto"/>
          <w:highlight w:val="none"/>
        </w:rPr>
        <w:t>供应商</w:t>
      </w:r>
      <w:r>
        <w:rPr>
          <w:rFonts w:ascii="Times New Roman" w:hAnsi="Times New Roman"/>
          <w:color w:val="auto"/>
          <w:highlight w:val="none"/>
        </w:rPr>
        <w:t>资格要求</w:t>
      </w:r>
      <w:bookmarkEnd w:id="10"/>
      <w:bookmarkEnd w:id="1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.1</w:t>
      </w:r>
      <w:r>
        <w:rPr>
          <w:rFonts w:hint="eastAsia" w:ascii="Times New Roman" w:hAnsi="Times New Roman"/>
          <w:color w:val="auto"/>
          <w:highlight w:val="none"/>
        </w:rPr>
        <w:t>供应商应依法设立且满足如下要求</w:t>
      </w:r>
      <w:r>
        <w:rPr>
          <w:rFonts w:ascii="Times New Roman" w:hAnsi="Times New Roman"/>
          <w:color w:val="auto"/>
          <w:highlight w:val="none"/>
        </w:rPr>
        <w:t>：</w:t>
      </w:r>
    </w:p>
    <w:p>
      <w:pPr>
        <w:numPr>
          <w:ilvl w:val="0"/>
          <w:numId w:val="1"/>
        </w:num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资质要求：</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①</w:t>
      </w:r>
      <w:r>
        <w:rPr>
          <w:rFonts w:hint="eastAsia" w:ascii="Times New Roman" w:hAnsi="Times New Roman"/>
          <w:color w:val="auto"/>
          <w:highlight w:val="none"/>
          <w:u w:val="single"/>
        </w:rPr>
        <w:t>在我国关境内注册的产品制造商或经销/代理商,具有有效的营业执照。</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②</w:t>
      </w:r>
      <w:r>
        <w:rPr>
          <w:rFonts w:hint="eastAsia" w:ascii="Times New Roman" w:hAnsi="Times New Roman"/>
          <w:color w:val="auto"/>
          <w:highlight w:val="none"/>
          <w:u w:val="single"/>
        </w:rPr>
        <w:t>所投产品制造商在中国关境内时：若所投产品为第二类和第三类医疗器械，应提供有效的医疗器械生产许可证；若所投产品为第一类医疗器械，须在响应文件中提供备案证明材料或承诺函，承诺在合同签订前提供其向所在地设区的市级负责药品监督管理部门完成生产备案的证明材料，若未按规定提供视为自动放弃成交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③</w:t>
      </w:r>
      <w:r>
        <w:rPr>
          <w:rFonts w:hint="eastAsia" w:ascii="Times New Roman" w:hAnsi="Times New Roman"/>
          <w:color w:val="auto"/>
          <w:highlight w:val="none"/>
          <w:u w:val="single"/>
        </w:rPr>
        <w:t>若所投产品为第二类和第三类医疗器械，所投产品须具有有效的医疗器械注册证；若所投产品为第一类医疗器械，须在响应文件中提供备案证明材料或承诺函，承诺在合同签订前提供其向相应药品监督管理部门完成产品备案的证明材料，若未按规定提供视为自动放弃中标资格。</w:t>
      </w:r>
    </w:p>
    <w:p>
      <w:pPr>
        <w:numPr>
          <w:ilvl w:val="0"/>
          <w:numId w:val="0"/>
        </w:numPr>
        <w:spacing w:line="400" w:lineRule="exact"/>
        <w:ind w:firstLine="380" w:firstLineChars="200"/>
        <w:rPr>
          <w:rFonts w:hint="eastAsia" w:ascii="Times New Roman" w:hAnsi="Times New Roman"/>
          <w:color w:val="auto"/>
          <w:highlight w:val="none"/>
          <w:u w:val="single"/>
        </w:rPr>
      </w:pPr>
      <w:r>
        <w:rPr>
          <w:rFonts w:ascii="Arial" w:hAnsi="Arial" w:eastAsia="宋体" w:cs="Arial"/>
          <w:i w:val="0"/>
          <w:iCs w:val="0"/>
          <w:caps w:val="0"/>
          <w:color w:val="333333"/>
          <w:spacing w:val="0"/>
          <w:sz w:val="19"/>
          <w:szCs w:val="19"/>
          <w:highlight w:val="none"/>
          <w:u w:val="single"/>
          <w:shd w:val="clear" w:color="auto" w:fill="FFFFFF"/>
        </w:rPr>
        <w:t>④</w:t>
      </w:r>
      <w:r>
        <w:rPr>
          <w:rFonts w:hint="eastAsia" w:ascii="Times New Roman" w:hAnsi="Times New Roman"/>
          <w:color w:val="auto"/>
          <w:highlight w:val="none"/>
          <w:u w:val="single"/>
        </w:rPr>
        <w:t>供应商非所投产品制造商时：</w:t>
      </w:r>
    </w:p>
    <w:p>
      <w:pPr>
        <w:spacing w:line="400" w:lineRule="exact"/>
        <w:ind w:firstLine="315" w:firstLineChars="150"/>
        <w:rPr>
          <w:rFonts w:hint="eastAsia" w:ascii="Times New Roman" w:hAnsi="Times New Roman" w:eastAsia="宋体"/>
          <w:color w:val="auto"/>
          <w:sz w:val="32"/>
          <w:szCs w:val="32"/>
          <w:highlight w:val="none"/>
          <w:u w:val="single"/>
          <w:lang w:val="en-US" w:eastAsia="zh-CN"/>
        </w:rPr>
      </w:pPr>
      <w:r>
        <w:rPr>
          <w:rFonts w:hint="eastAsia" w:ascii="Times New Roman" w:hAnsi="Times New Roman"/>
          <w:color w:val="auto"/>
          <w:highlight w:val="none"/>
          <w:u w:val="single"/>
        </w:rPr>
        <w:t>若所投产品为第三类医疗器械，应提供有效的医疗器械经营许可证；若所投产品为第二类医疗器械，须在响应文件中提供备案证明材料或承诺函，承诺在合同签订前提供其向所在地设区的市级负责药品监督管理部门完成经营备案的证明材料，若未按规定提供视为自动放弃成交资格；若所投产品在《免于经营备案的第二类医疗器械产品目录》中，可不提供备案证明材料或者承诺函，但需要响应文件中提供目录或说明；</w:t>
      </w:r>
    </w:p>
    <w:p>
      <w:pPr>
        <w:spacing w:line="400" w:lineRule="exact"/>
        <w:ind w:firstLine="315" w:firstLineChars="150"/>
        <w:rPr>
          <w:rFonts w:hint="default" w:ascii="Times New Roman" w:hAnsi="Times New Roman"/>
          <w:color w:val="auto"/>
          <w:highlight w:val="none"/>
          <w:u w:val="single"/>
          <w:lang w:val="en-US"/>
        </w:rPr>
      </w:pPr>
      <w:r>
        <w:rPr>
          <w:rFonts w:ascii="Times New Roman" w:hAnsi="Times New Roman"/>
          <w:color w:val="auto"/>
          <w:highlight w:val="none"/>
        </w:rPr>
        <w:t>（2）财务要求：</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（3）业绩要求：</w:t>
      </w:r>
      <w:r>
        <w:rPr>
          <w:rFonts w:hint="eastAsia" w:ascii="Times New Roman" w:hAnsi="Times New Roman"/>
          <w:color w:val="auto"/>
          <w:highlight w:val="none"/>
          <w:u w:val="single"/>
          <w:lang w:val="en-US" w:eastAsia="zh-CN"/>
        </w:rPr>
        <w:t>无</w:t>
      </w:r>
    </w:p>
    <w:p>
      <w:pPr>
        <w:spacing w:line="400" w:lineRule="exact"/>
        <w:ind w:firstLine="315" w:firstLineChars="150"/>
        <w:rPr>
          <w:rFonts w:hint="eastAsia" w:ascii="Times New Roman" w:hAnsi="Times New Roman"/>
          <w:color w:val="auto"/>
          <w:highlight w:val="none"/>
          <w:u w:val="single"/>
        </w:rPr>
      </w:pPr>
      <w:r>
        <w:rPr>
          <w:rFonts w:ascii="Times New Roman" w:hAnsi="Times New Roman"/>
          <w:color w:val="auto"/>
          <w:highlight w:val="none"/>
        </w:rPr>
        <w:t>（4）信誉要求：</w:t>
      </w:r>
      <w:r>
        <w:rPr>
          <w:rFonts w:hint="eastAsia" w:ascii="Times New Roman" w:hAnsi="Times New Roman"/>
          <w:color w:val="auto"/>
          <w:highlight w:val="none"/>
          <w:u w:val="single"/>
        </w:rPr>
        <w:t>截至提交首次响应文件截止时间，</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（不含其不具有独立法人资格的分支机构）存在下列有效情形之一的，其响应文件按无效处理。</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①被人民法院列入失信被执行人名单的；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②被税务机关列入重大税收违法案件当事人名单的；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③被财政部门列入政府采购严重违法失信名单的；</w:t>
      </w:r>
    </w:p>
    <w:p>
      <w:pPr>
        <w:spacing w:line="400" w:lineRule="exact"/>
        <w:ind w:firstLine="315" w:firstLineChars="150"/>
        <w:rPr>
          <w:rFonts w:hint="eastAsia" w:ascii="Times New Roman" w:hAnsi="Times New Roman"/>
          <w:color w:val="auto"/>
          <w:highlight w:val="none"/>
          <w:u w:val="single"/>
        </w:rPr>
      </w:pPr>
      <w:r>
        <w:rPr>
          <w:rFonts w:hint="eastAsia" w:ascii="Times New Roman" w:hAnsi="Times New Roman"/>
          <w:color w:val="auto"/>
          <w:highlight w:val="none"/>
          <w:u w:val="single"/>
        </w:rPr>
        <w:t>④被市场监督管理部门（或工商行政管理部门）列入经营异常名录或者严重违法失信企业名单的（未按照《企业信息公示暂行条例》（国务院令第654号）第八条规定的期限公示年度报告被列入经营异常名录的除外）。</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u w:val="single"/>
        </w:rPr>
        <w:t>注：“有效”是指“情形”规定的程度、起止期间处于有效状态。</w:t>
      </w:r>
      <w:r>
        <w:rPr>
          <w:rFonts w:hint="eastAsia" w:ascii="Times New Roman" w:hAnsi="Times New Roman"/>
          <w:color w:val="auto"/>
          <w:highlight w:val="none"/>
          <w:u w:val="single"/>
          <w:lang w:val="en-US" w:eastAsia="zh-CN"/>
        </w:rPr>
        <w:t>供应商</w:t>
      </w:r>
      <w:r>
        <w:rPr>
          <w:rFonts w:hint="eastAsia" w:ascii="Times New Roman" w:hAnsi="Times New Roman"/>
          <w:color w:val="auto"/>
          <w:highlight w:val="none"/>
          <w:u w:val="single"/>
        </w:rPr>
        <w:t xml:space="preserve">为联合体的，对供应商的要求视同对联合体成员的要求。 </w:t>
      </w:r>
    </w:p>
    <w:p>
      <w:pPr>
        <w:spacing w:line="400" w:lineRule="exact"/>
        <w:ind w:firstLine="315" w:firstLineChars="150"/>
        <w:rPr>
          <w:rFonts w:ascii="Times New Roman" w:hAnsi="Times New Roman"/>
          <w:color w:val="auto"/>
          <w:highlight w:val="none"/>
        </w:rPr>
      </w:pPr>
      <w:r>
        <w:rPr>
          <w:rFonts w:hint="eastAsia" w:ascii="Times New Roman" w:hAnsi="Times New Roman"/>
          <w:color w:val="auto"/>
          <w:highlight w:val="none"/>
        </w:rPr>
        <w:t>（5）承担本项目的主要人员要求</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如要求</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olor w:val="auto"/>
          <w:highlight w:val="none"/>
          <w:u w:val="single"/>
          <w:lang w:val="en-US" w:eastAsia="zh-CN"/>
        </w:rPr>
        <w:t>无</w:t>
      </w:r>
    </w:p>
    <w:p>
      <w:pPr>
        <w:spacing w:line="400" w:lineRule="exact"/>
        <w:ind w:firstLine="315" w:firstLineChars="150"/>
        <w:rPr>
          <w:rFonts w:ascii="Times New Roman" w:hAnsi="Times New Roman"/>
          <w:color w:val="auto"/>
          <w:highlight w:val="none"/>
        </w:rPr>
      </w:pPr>
      <w:r>
        <w:rPr>
          <w:rFonts w:ascii="Times New Roman" w:hAnsi="Times New Roman"/>
          <w:color w:val="auto"/>
          <w:highlight w:val="none"/>
        </w:rPr>
        <w:t>（6）其他要求：</w:t>
      </w:r>
      <w:r>
        <w:rPr>
          <w:rFonts w:hint="eastAsia" w:ascii="Times New Roman" w:hAnsi="Times New Roman"/>
          <w:color w:val="auto"/>
          <w:highlight w:val="none"/>
          <w:u w:val="single"/>
          <w:lang w:val="en-US" w:eastAsia="zh-CN"/>
        </w:rPr>
        <w:t>无</w:t>
      </w:r>
      <w:r>
        <w:rPr>
          <w:rFonts w:ascii="Times New Roman" w:hAnsi="Times New Roman"/>
          <w:color w:val="auto"/>
          <w:highlight w:val="none"/>
        </w:rPr>
        <w:t>。</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3.2</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供应商</w:t>
      </w:r>
      <w:r>
        <w:rPr>
          <w:rFonts w:hint="eastAsia" w:ascii="Times New Roman" w:hAnsi="Times New Roman"/>
          <w:color w:val="auto"/>
          <w:szCs w:val="21"/>
          <w:highlight w:val="none"/>
        </w:rPr>
        <w:t>不得存在下列情形之一：</w:t>
      </w:r>
    </w:p>
    <w:p>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）处于被责令停产停</w:t>
      </w:r>
      <w:r>
        <w:rPr>
          <w:rFonts w:ascii="Times New Roman" w:hAnsi="Times New Roman"/>
          <w:color w:val="auto"/>
          <w:szCs w:val="21"/>
          <w:highlight w:val="none"/>
        </w:rPr>
        <w:t>业</w:t>
      </w:r>
      <w:r>
        <w:rPr>
          <w:rFonts w:hint="eastAsia" w:ascii="Times New Roman" w:hAnsi="Times New Roman"/>
          <w:color w:val="auto"/>
          <w:szCs w:val="21"/>
          <w:highlight w:val="none"/>
        </w:rPr>
        <w:t>、</w:t>
      </w:r>
      <w:r>
        <w:rPr>
          <w:rFonts w:ascii="Times New Roman" w:hAnsi="Times New Roman"/>
          <w:color w:val="auto"/>
          <w:szCs w:val="21"/>
          <w:highlight w:val="none"/>
        </w:rPr>
        <w:t>暂扣或者吊销执照</w:t>
      </w:r>
      <w:r>
        <w:rPr>
          <w:rFonts w:hint="eastAsia" w:ascii="Times New Roman" w:hAnsi="Times New Roman"/>
          <w:color w:val="auto"/>
          <w:szCs w:val="21"/>
          <w:highlight w:val="none"/>
        </w:rPr>
        <w:t>、</w:t>
      </w:r>
      <w:r>
        <w:rPr>
          <w:rFonts w:ascii="Times New Roman" w:hAnsi="Times New Roman"/>
          <w:color w:val="auto"/>
          <w:szCs w:val="21"/>
          <w:highlight w:val="none"/>
        </w:rPr>
        <w:t>暂扣或者吊销许可证</w:t>
      </w:r>
      <w:r>
        <w:rPr>
          <w:rFonts w:hint="eastAsia" w:ascii="Times New Roman" w:hAnsi="Times New Roman"/>
          <w:color w:val="auto"/>
          <w:szCs w:val="21"/>
          <w:highlight w:val="none"/>
        </w:rPr>
        <w:t>、吊销资质证书状态；</w:t>
      </w:r>
    </w:p>
    <w:p>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2</w:t>
      </w:r>
      <w:r>
        <w:rPr>
          <w:rFonts w:ascii="Times New Roman" w:hAnsi="Times New Roman"/>
          <w:color w:val="auto"/>
          <w:szCs w:val="21"/>
          <w:highlight w:val="none"/>
        </w:rPr>
        <w:t>）进入清算程序，或被宣告破产，或其他丧失履约能力的情形；</w:t>
      </w:r>
    </w:p>
    <w:p>
      <w:pPr>
        <w:spacing w:line="400" w:lineRule="exact"/>
        <w:ind w:firstLine="420" w:firstLineChars="200"/>
        <w:rPr>
          <w:rFonts w:hint="eastAsia" w:ascii="Times New Roman" w:hAnsi="Times New Roman" w:eastAsia="宋体"/>
          <w:color w:val="auto"/>
          <w:szCs w:val="21"/>
          <w:highlight w:val="none"/>
          <w:u w:val="single"/>
          <w:lang w:val="en-US" w:eastAsia="zh-CN"/>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w:t>
      </w:r>
      <w:r>
        <w:rPr>
          <w:rFonts w:hint="eastAsia" w:ascii="Times New Roman" w:hAnsi="Times New Roman"/>
          <w:color w:val="auto"/>
          <w:szCs w:val="21"/>
          <w:highlight w:val="none"/>
        </w:rPr>
        <w:t>其他：</w:t>
      </w:r>
      <w:r>
        <w:rPr>
          <w:rFonts w:hint="eastAsia" w:ascii="Times New Roman" w:hAnsi="Times New Roman"/>
          <w:color w:val="auto"/>
          <w:szCs w:val="21"/>
          <w:highlight w:val="none"/>
          <w:lang w:val="en-US" w:eastAsia="zh-CN"/>
        </w:rPr>
        <w:t>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3</w:t>
      </w:r>
      <w:r>
        <w:rPr>
          <w:rFonts w:ascii="Times New Roman" w:hAnsi="Times New Roman"/>
          <w:color w:val="auto"/>
          <w:highlight w:val="none"/>
        </w:rPr>
        <w:t xml:space="preserve"> 本次</w:t>
      </w:r>
      <w:r>
        <w:rPr>
          <w:rFonts w:hint="eastAsia" w:ascii="Times New Roman" w:hAnsi="Times New Roman"/>
          <w:color w:val="auto"/>
          <w:highlight w:val="none"/>
        </w:rPr>
        <w:t>采购</w:t>
      </w:r>
      <w:r>
        <w:rPr>
          <w:rFonts w:ascii="Times New Roman" w:hAnsi="Times New Roman"/>
          <w:color w:val="auto"/>
          <w:highlight w:val="none"/>
          <w:u w:val="single"/>
        </w:rPr>
        <w:t>不接受</w:t>
      </w:r>
      <w:r>
        <w:rPr>
          <w:rFonts w:ascii="Times New Roman" w:hAnsi="Times New Roman"/>
          <w:color w:val="auto"/>
          <w:highlight w:val="none"/>
        </w:rPr>
        <w:t>联合体。</w:t>
      </w:r>
    </w:p>
    <w:p>
      <w:pPr>
        <w:pStyle w:val="4"/>
        <w:spacing w:line="240" w:lineRule="auto"/>
        <w:rPr>
          <w:rFonts w:ascii="Times New Roman" w:hAnsi="Times New Roman"/>
          <w:color w:val="auto"/>
          <w:highlight w:val="none"/>
        </w:rPr>
      </w:pPr>
      <w:bookmarkStart w:id="12" w:name="_Toc501460635"/>
      <w:bookmarkStart w:id="13" w:name="_Toc25674"/>
      <w:r>
        <w:rPr>
          <w:rFonts w:ascii="Times New Roman" w:hAnsi="Times New Roman"/>
          <w:color w:val="auto"/>
          <w:highlight w:val="none"/>
        </w:rPr>
        <w:t xml:space="preserve">4. </w:t>
      </w:r>
      <w:r>
        <w:rPr>
          <w:rFonts w:hint="eastAsia" w:ascii="Times New Roman" w:hAnsi="Times New Roman"/>
          <w:color w:val="auto"/>
          <w:highlight w:val="none"/>
        </w:rPr>
        <w:t>采购文件的获取</w:t>
      </w:r>
      <w:bookmarkEnd w:id="12"/>
      <w:bookmarkEnd w:id="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4.1文件获取时间：2025年</w:t>
      </w:r>
      <w:r>
        <w:rPr>
          <w:rFonts w:hint="eastAsia" w:ascii="Times New Roman" w:hAnsi="Times New Roman"/>
          <w:color w:val="auto"/>
          <w:highlight w:val="none"/>
          <w:lang w:val="en-US" w:eastAsia="zh-CN"/>
        </w:rPr>
        <w:t>12</w:t>
      </w:r>
      <w:r>
        <w:rPr>
          <w:rFonts w:hint="eastAsia" w:ascii="Times New Roman" w:hAnsi="Times New Roman"/>
          <w:color w:val="auto"/>
          <w:highlight w:val="none"/>
        </w:rPr>
        <w:t>月</w:t>
      </w:r>
      <w:r>
        <w:rPr>
          <w:rFonts w:hint="eastAsia" w:ascii="Times New Roman" w:hAnsi="Times New Roman"/>
          <w:color w:val="auto"/>
          <w:highlight w:val="none"/>
          <w:lang w:val="en-US" w:eastAsia="zh-CN"/>
        </w:rPr>
        <w:t>3</w:t>
      </w:r>
      <w:r>
        <w:rPr>
          <w:rFonts w:hint="eastAsia" w:ascii="Times New Roman" w:hAnsi="Times New Roman"/>
          <w:color w:val="auto"/>
          <w:highlight w:val="none"/>
        </w:rPr>
        <w:t>日至2025年</w:t>
      </w:r>
      <w:r>
        <w:rPr>
          <w:rFonts w:hint="eastAsia" w:ascii="Times New Roman" w:hAnsi="Times New Roman"/>
          <w:color w:val="auto"/>
          <w:highlight w:val="none"/>
          <w:lang w:val="en-US" w:eastAsia="zh-CN"/>
        </w:rPr>
        <w:t>12</w:t>
      </w:r>
      <w:r>
        <w:rPr>
          <w:rFonts w:hint="eastAsia" w:ascii="Times New Roman" w:hAnsi="Times New Roman"/>
          <w:color w:val="auto"/>
          <w:highlight w:val="none"/>
        </w:rPr>
        <w:t>月</w:t>
      </w:r>
      <w:r>
        <w:rPr>
          <w:rFonts w:hint="eastAsia" w:ascii="Times New Roman" w:hAnsi="Times New Roman"/>
          <w:color w:val="auto"/>
          <w:highlight w:val="none"/>
          <w:lang w:val="en-US" w:eastAsia="zh-CN"/>
        </w:rPr>
        <w:t>13</w:t>
      </w:r>
      <w:r>
        <w:rPr>
          <w:rFonts w:hint="eastAsia" w:ascii="Times New Roman" w:hAnsi="Times New Roman"/>
          <w:color w:val="auto"/>
          <w:highlight w:val="none"/>
        </w:rPr>
        <w:t>日；</w:t>
      </w:r>
    </w:p>
    <w:p>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4.2</w:t>
      </w:r>
      <w:r>
        <w:rPr>
          <w:rFonts w:hint="eastAsia" w:ascii="宋体" w:hAnsi="宋体" w:eastAsia="宋体" w:cs="宋体"/>
          <w:sz w:val="24"/>
          <w:szCs w:val="24"/>
          <w:lang w:val="en-US" w:eastAsia="zh-CN"/>
        </w:rPr>
        <w:t>获取方式</w:t>
      </w:r>
      <w:r>
        <w:rPr>
          <w:rFonts w:hint="eastAsia" w:ascii="宋体" w:hAnsi="宋体" w:cs="宋体"/>
          <w:kern w:val="0"/>
          <w:sz w:val="23"/>
          <w:szCs w:val="23"/>
        </w:rPr>
        <w:t>：</w:t>
      </w:r>
      <w:r>
        <w:rPr>
          <w:rFonts w:hint="eastAsia" w:ascii="宋体" w:hAnsi="宋体" w:cs="宋体"/>
          <w:color w:val="FF0000"/>
          <w:sz w:val="24"/>
          <w:szCs w:val="24"/>
          <w:lang w:val="en-US" w:eastAsia="zh-CN"/>
        </w:rPr>
        <w:t>郎溪县中医院官网自行下载</w:t>
      </w:r>
      <w:r>
        <w:rPr>
          <w:rFonts w:hint="eastAsia" w:ascii="宋体" w:hAnsi="宋体" w:eastAsia="宋体" w:cs="宋体"/>
          <w:color w:val="FF0000"/>
          <w:sz w:val="24"/>
          <w:szCs w:val="24"/>
          <w:lang w:val="en-US" w:eastAsia="zh-CN"/>
        </w:rPr>
        <w:t>领取</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14" w:name="_Toc27467"/>
      <w:bookmarkStart w:id="15" w:name="_Toc501460636"/>
      <w:r>
        <w:rPr>
          <w:rFonts w:hint="eastAsia" w:ascii="Times New Roman" w:hAnsi="Times New Roman" w:eastAsia="黑体" w:cs="Times New Roman"/>
          <w:b/>
          <w:color w:val="auto"/>
          <w:kern w:val="2"/>
          <w:sz w:val="32"/>
          <w:szCs w:val="20"/>
          <w:highlight w:val="none"/>
          <w:lang w:val="en-US" w:eastAsia="zh-CN" w:bidi="ar-SA"/>
        </w:rPr>
        <w:t xml:space="preserve">5. </w:t>
      </w:r>
      <w:bookmarkEnd w:id="2"/>
      <w:bookmarkEnd w:id="3"/>
      <w:bookmarkEnd w:id="4"/>
      <w:bookmarkEnd w:id="14"/>
      <w:bookmarkEnd w:id="15"/>
      <w:bookmarkStart w:id="16" w:name="_Toc35393793"/>
      <w:bookmarkStart w:id="17" w:name="_Toc35393624"/>
      <w:bookmarkStart w:id="18" w:name="_Toc352691457"/>
      <w:bookmarkStart w:id="19" w:name="_Toc384308189"/>
      <w:bookmarkStart w:id="20" w:name="_Toc369531499"/>
      <w:bookmarkStart w:id="21" w:name="_Toc247527537"/>
      <w:bookmarkStart w:id="22" w:name="_Toc247513936"/>
      <w:bookmarkStart w:id="23" w:name="_Toc2312"/>
      <w:bookmarkStart w:id="24" w:name="_Toc300834931"/>
      <w:bookmarkStart w:id="25" w:name="_Toc152042290"/>
      <w:bookmarkStart w:id="26" w:name="_Toc361508564"/>
      <w:bookmarkStart w:id="27" w:name="_Toc144974482"/>
      <w:bookmarkStart w:id="28" w:name="_Toc152045514"/>
      <w:r>
        <w:rPr>
          <w:rFonts w:hint="eastAsia" w:ascii="Times New Roman" w:hAnsi="Times New Roman" w:eastAsia="黑体" w:cs="Times New Roman"/>
          <w:b/>
          <w:color w:val="auto"/>
          <w:kern w:val="2"/>
          <w:sz w:val="32"/>
          <w:szCs w:val="20"/>
          <w:highlight w:val="none"/>
          <w:lang w:val="en-US" w:eastAsia="zh-CN" w:bidi="ar-SA"/>
        </w:rPr>
        <w:t>响应文件</w:t>
      </w:r>
      <w:bookmarkStart w:id="29" w:name="_Toc28359082"/>
      <w:bookmarkStart w:id="30" w:name="_Toc28359005"/>
      <w:r>
        <w:rPr>
          <w:rFonts w:hint="eastAsia" w:ascii="Times New Roman" w:hAnsi="Times New Roman" w:eastAsia="黑体" w:cs="Times New Roman"/>
          <w:b/>
          <w:color w:val="auto"/>
          <w:kern w:val="2"/>
          <w:sz w:val="32"/>
          <w:szCs w:val="20"/>
          <w:highlight w:val="none"/>
          <w:lang w:val="en-US" w:eastAsia="zh-CN" w:bidi="ar-SA"/>
        </w:rPr>
        <w:t>提交</w:t>
      </w:r>
      <w:bookmarkEnd w:id="16"/>
      <w:bookmarkEnd w:id="17"/>
      <w:bookmarkEnd w:id="29"/>
      <w:bookmarkEnd w:id="30"/>
    </w:p>
    <w:p>
      <w:pPr>
        <w:widowControl/>
        <w:spacing w:line="550" w:lineRule="exact"/>
        <w:ind w:firstLine="460" w:firstLineChars="200"/>
        <w:jc w:val="left"/>
        <w:rPr>
          <w:rFonts w:ascii="宋体" w:hAnsi="宋体" w:cs="宋体"/>
          <w:kern w:val="0"/>
          <w:sz w:val="23"/>
          <w:szCs w:val="23"/>
        </w:rPr>
      </w:pPr>
      <w:bookmarkStart w:id="31" w:name="_Hlk130308287"/>
      <w:r>
        <w:rPr>
          <w:rFonts w:hint="eastAsia" w:ascii="宋体" w:hAnsi="宋体" w:cs="宋体"/>
          <w:kern w:val="0"/>
          <w:sz w:val="23"/>
          <w:szCs w:val="23"/>
          <w:lang w:val="en-US" w:eastAsia="zh-CN"/>
        </w:rPr>
        <w:t>5.</w:t>
      </w:r>
      <w:r>
        <w:rPr>
          <w:rFonts w:hint="eastAsia" w:ascii="宋体" w:hAnsi="宋体" w:cs="宋体"/>
          <w:kern w:val="0"/>
          <w:sz w:val="23"/>
          <w:szCs w:val="23"/>
        </w:rPr>
        <w:t>1、截止时间：2025年</w:t>
      </w:r>
      <w:r>
        <w:rPr>
          <w:rFonts w:hint="eastAsia" w:ascii="宋体" w:hAnsi="宋体" w:cs="宋体"/>
          <w:kern w:val="0"/>
          <w:sz w:val="23"/>
          <w:szCs w:val="23"/>
          <w:lang w:val="en-US" w:eastAsia="zh-CN"/>
        </w:rPr>
        <w:t>12</w:t>
      </w:r>
      <w:r>
        <w:rPr>
          <w:rFonts w:hint="eastAsia" w:ascii="宋体" w:hAnsi="宋体" w:cs="宋体"/>
          <w:kern w:val="0"/>
          <w:sz w:val="23"/>
          <w:szCs w:val="23"/>
        </w:rPr>
        <w:t>月</w:t>
      </w:r>
      <w:r>
        <w:rPr>
          <w:rFonts w:hint="eastAsia" w:ascii="宋体" w:hAnsi="宋体" w:cs="宋体"/>
          <w:kern w:val="0"/>
          <w:sz w:val="23"/>
          <w:szCs w:val="23"/>
          <w:lang w:val="en-US" w:eastAsia="zh-CN"/>
        </w:rPr>
        <w:t>13</w:t>
      </w:r>
      <w:r>
        <w:rPr>
          <w:rFonts w:hint="eastAsia" w:ascii="宋体" w:hAnsi="宋体" w:cs="宋体"/>
          <w:kern w:val="0"/>
          <w:sz w:val="23"/>
          <w:szCs w:val="23"/>
        </w:rPr>
        <w:t>日1</w:t>
      </w:r>
      <w:r>
        <w:rPr>
          <w:rFonts w:hint="eastAsia" w:ascii="宋体" w:hAnsi="宋体" w:cs="宋体"/>
          <w:kern w:val="0"/>
          <w:sz w:val="23"/>
          <w:szCs w:val="23"/>
          <w:lang w:val="en-US" w:eastAsia="zh-CN"/>
        </w:rPr>
        <w:t>2</w:t>
      </w:r>
      <w:r>
        <w:rPr>
          <w:rFonts w:hint="eastAsia" w:ascii="宋体" w:hAnsi="宋体" w:cs="宋体"/>
          <w:kern w:val="0"/>
          <w:sz w:val="23"/>
          <w:szCs w:val="23"/>
        </w:rPr>
        <w:t>:00</w:t>
      </w:r>
    </w:p>
    <w:p>
      <w:pPr>
        <w:widowControl/>
        <w:spacing w:line="360" w:lineRule="auto"/>
        <w:ind w:firstLine="460" w:firstLineChars="200"/>
        <w:jc w:val="left"/>
        <w:rPr>
          <w:rFonts w:hint="eastAsia" w:ascii="宋体" w:hAnsi="宋体" w:eastAsia="宋体" w:cs="宋体"/>
          <w:sz w:val="24"/>
          <w:szCs w:val="24"/>
          <w:lang w:val="en-US" w:eastAsia="zh-CN"/>
        </w:rPr>
      </w:pPr>
      <w:r>
        <w:rPr>
          <w:rFonts w:hint="eastAsia" w:ascii="宋体" w:hAnsi="宋体" w:cs="宋体"/>
          <w:kern w:val="0"/>
          <w:sz w:val="23"/>
          <w:szCs w:val="23"/>
          <w:lang w:val="en-US" w:eastAsia="zh-CN"/>
        </w:rPr>
        <w:t>5.</w:t>
      </w:r>
      <w:r>
        <w:rPr>
          <w:rFonts w:hint="eastAsia" w:ascii="宋体" w:hAnsi="宋体" w:cs="宋体"/>
          <w:kern w:val="0"/>
          <w:sz w:val="23"/>
          <w:szCs w:val="23"/>
        </w:rPr>
        <w:t>2、地点：</w:t>
      </w:r>
      <w:r>
        <w:rPr>
          <w:rFonts w:hint="eastAsia" w:ascii="宋体" w:hAnsi="宋体" w:eastAsia="宋体" w:cs="宋体"/>
          <w:sz w:val="24"/>
          <w:szCs w:val="24"/>
          <w:lang w:val="en-US" w:eastAsia="zh-CN"/>
        </w:rPr>
        <w:t>安徽省宣城市</w:t>
      </w:r>
      <w:r>
        <w:rPr>
          <w:rFonts w:hint="eastAsia" w:ascii="宋体" w:hAnsi="宋体" w:cs="宋体"/>
          <w:sz w:val="24"/>
          <w:szCs w:val="24"/>
          <w:lang w:val="en-US" w:eastAsia="zh-CN"/>
        </w:rPr>
        <w:t>郎溪县建平镇亭子山路99号郎溪县中</w:t>
      </w:r>
      <w:r>
        <w:rPr>
          <w:rFonts w:hint="eastAsia" w:ascii="宋体" w:hAnsi="宋体" w:eastAsia="宋体" w:cs="宋体"/>
          <w:sz w:val="24"/>
          <w:szCs w:val="24"/>
          <w:lang w:val="en-US" w:eastAsia="zh-CN"/>
        </w:rPr>
        <w:t>医院医学装备科</w:t>
      </w:r>
    </w:p>
    <w:p>
      <w:pPr>
        <w:widowControl/>
        <w:spacing w:line="360" w:lineRule="auto"/>
        <w:ind w:firstLine="460" w:firstLineChars="200"/>
        <w:jc w:val="left"/>
        <w:rPr>
          <w:rFonts w:ascii="宋体" w:hAnsi="宋体" w:cs="宋体"/>
          <w:color w:val="000000"/>
          <w:kern w:val="0"/>
          <w:sz w:val="23"/>
          <w:szCs w:val="23"/>
        </w:rPr>
      </w:pPr>
      <w:r>
        <w:rPr>
          <w:rFonts w:hint="eastAsia" w:ascii="宋体" w:hAnsi="宋体" w:cs="宋体"/>
          <w:color w:val="000000"/>
          <w:kern w:val="0"/>
          <w:sz w:val="23"/>
          <w:szCs w:val="23"/>
          <w:lang w:val="en-US" w:eastAsia="zh-CN"/>
        </w:rPr>
        <w:t>5.</w:t>
      </w:r>
      <w:r>
        <w:rPr>
          <w:rFonts w:ascii="宋体" w:hAnsi="宋体" w:cs="宋体"/>
          <w:color w:val="000000"/>
          <w:kern w:val="0"/>
          <w:sz w:val="23"/>
          <w:szCs w:val="23"/>
        </w:rPr>
        <w:t>3、逾期送达的投标文件将予以拒绝。</w:t>
      </w:r>
    </w:p>
    <w:p>
      <w:pPr>
        <w:spacing w:line="360" w:lineRule="auto"/>
        <w:ind w:firstLine="460" w:firstLineChars="200"/>
        <w:rPr>
          <w:rFonts w:hint="eastAsia" w:ascii="宋体" w:hAnsi="宋体" w:eastAsia="宋体" w:cs="宋体"/>
          <w:sz w:val="24"/>
          <w:szCs w:val="24"/>
          <w:lang w:val="en-US" w:eastAsia="zh-CN"/>
        </w:rPr>
      </w:pPr>
      <w:r>
        <w:rPr>
          <w:rFonts w:hint="eastAsia" w:ascii="宋体" w:hAnsi="宋体" w:cs="宋体"/>
          <w:color w:val="000000"/>
          <w:kern w:val="0"/>
          <w:sz w:val="23"/>
          <w:szCs w:val="23"/>
          <w:lang w:val="en-US" w:eastAsia="zh-CN"/>
        </w:rPr>
        <w:t>5.</w:t>
      </w:r>
      <w:r>
        <w:rPr>
          <w:rFonts w:hint="eastAsia" w:ascii="宋体" w:hAnsi="宋体" w:cs="宋体"/>
          <w:color w:val="000000"/>
          <w:kern w:val="0"/>
          <w:sz w:val="23"/>
          <w:szCs w:val="23"/>
        </w:rPr>
        <w:t>4</w:t>
      </w:r>
      <w:r>
        <w:rPr>
          <w:rFonts w:ascii="宋体" w:hAnsi="宋体" w:cs="宋体"/>
          <w:color w:val="000000"/>
          <w:kern w:val="0"/>
          <w:sz w:val="23"/>
          <w:szCs w:val="23"/>
        </w:rPr>
        <w:t>、</w:t>
      </w:r>
      <w:bookmarkEnd w:id="31"/>
      <w:r>
        <w:rPr>
          <w:rFonts w:hint="eastAsia" w:ascii="宋体" w:hAnsi="宋体" w:cs="宋体"/>
          <w:color w:val="000000"/>
          <w:kern w:val="0"/>
          <w:sz w:val="23"/>
          <w:szCs w:val="23"/>
          <w:lang w:eastAsia="zh-CN"/>
        </w:rPr>
        <w:t>开标</w:t>
      </w:r>
      <w:r>
        <w:rPr>
          <w:rFonts w:hint="eastAsia" w:ascii="宋体" w:hAnsi="宋体" w:eastAsia="宋体" w:cs="宋体"/>
          <w:sz w:val="24"/>
          <w:szCs w:val="24"/>
          <w:lang w:val="en-US" w:eastAsia="zh-CN"/>
        </w:rPr>
        <w:t>时间：</w:t>
      </w:r>
      <w:r>
        <w:rPr>
          <w:rFonts w:hint="eastAsia" w:ascii="宋体" w:hAnsi="宋体" w:eastAsia="宋体" w:cs="宋体"/>
          <w:sz w:val="24"/>
          <w:szCs w:val="24"/>
          <w:lang w:eastAsia="zh-CN"/>
        </w:rPr>
        <w:t>暂定</w:t>
      </w:r>
      <w:r>
        <w:rPr>
          <w:rFonts w:hint="eastAsia" w:ascii="宋体" w:hAnsi="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cs="宋体"/>
          <w:sz w:val="24"/>
          <w:szCs w:val="24"/>
          <w:lang w:val="en-US" w:eastAsia="zh-CN"/>
        </w:rPr>
        <w:t>15</w:t>
      </w:r>
      <w:r>
        <w:rPr>
          <w:rFonts w:hint="eastAsia" w:ascii="宋体" w:hAnsi="宋体" w:eastAsia="宋体" w:cs="宋体"/>
          <w:sz w:val="24"/>
          <w:szCs w:val="24"/>
          <w:lang w:eastAsia="zh-CN"/>
        </w:rPr>
        <w:t>日</w:t>
      </w:r>
      <w:r>
        <w:rPr>
          <w:rFonts w:hint="eastAsia" w:ascii="宋体" w:hAnsi="宋体" w:cs="宋体"/>
          <w:sz w:val="24"/>
          <w:szCs w:val="24"/>
          <w:lang w:eastAsia="zh-CN"/>
        </w:rPr>
        <w:t>上</w:t>
      </w:r>
      <w:r>
        <w:rPr>
          <w:rFonts w:hint="eastAsia" w:ascii="宋体" w:hAnsi="宋体" w:eastAsia="宋体" w:cs="宋体"/>
          <w:sz w:val="24"/>
          <w:szCs w:val="24"/>
          <w:lang w:eastAsia="zh-CN"/>
        </w:rPr>
        <w:t>午</w:t>
      </w:r>
      <w:r>
        <w:rPr>
          <w:rFonts w:hint="eastAsia" w:ascii="宋体" w:hAnsi="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0，如有变动另行通知</w:t>
      </w:r>
    </w:p>
    <w:p>
      <w:pPr>
        <w:spacing w:line="360" w:lineRule="auto"/>
        <w:ind w:firstLine="720" w:firstLineChars="300"/>
        <w:rPr>
          <w:rFonts w:hint="eastAsia" w:ascii="宋体" w:hAnsi="宋体" w:cs="宋体"/>
          <w:color w:val="000000"/>
          <w:kern w:val="0"/>
          <w:sz w:val="23"/>
          <w:szCs w:val="23"/>
        </w:rPr>
      </w:pPr>
      <w:r>
        <w:rPr>
          <w:rFonts w:hint="eastAsia" w:ascii="宋体" w:hAnsi="宋体" w:eastAsia="宋体" w:cs="宋体"/>
          <w:sz w:val="24"/>
          <w:szCs w:val="24"/>
        </w:rPr>
        <w:t>地点：</w:t>
      </w:r>
      <w:r>
        <w:rPr>
          <w:rFonts w:hint="eastAsia" w:ascii="宋体" w:hAnsi="宋体" w:cs="宋体"/>
          <w:sz w:val="24"/>
          <w:szCs w:val="24"/>
          <w:lang w:eastAsia="zh-CN"/>
        </w:rPr>
        <w:t>郎溪县中</w:t>
      </w:r>
      <w:r>
        <w:rPr>
          <w:rFonts w:hint="eastAsia" w:ascii="宋体" w:hAnsi="宋体" w:eastAsia="宋体" w:cs="宋体"/>
          <w:sz w:val="24"/>
          <w:szCs w:val="24"/>
          <w:lang w:eastAsia="zh-CN"/>
        </w:rPr>
        <w:t>医院</w:t>
      </w:r>
      <w:r>
        <w:rPr>
          <w:rFonts w:hint="eastAsia" w:ascii="宋体" w:hAnsi="宋体" w:eastAsia="宋体" w:cs="宋体"/>
          <w:sz w:val="24"/>
          <w:szCs w:val="24"/>
          <w:lang w:val="en-US" w:eastAsia="zh-CN"/>
        </w:rPr>
        <w:t>医学装备科</w:t>
      </w:r>
      <w:r>
        <w:rPr>
          <w:rFonts w:hint="eastAsia" w:ascii="宋体" w:hAnsi="宋体" w:eastAsia="宋体" w:cs="宋体"/>
          <w:sz w:val="24"/>
          <w:szCs w:val="24"/>
          <w:lang w:eastAsia="zh-CN"/>
        </w:rPr>
        <w:t>会议室</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6、公告期限</w:t>
      </w:r>
    </w:p>
    <w:p>
      <w:pPr>
        <w:widowControl/>
        <w:spacing w:line="550" w:lineRule="exact"/>
        <w:ind w:firstLine="460" w:firstLineChars="200"/>
        <w:rPr>
          <w:rFonts w:hint="eastAsia" w:ascii="宋体" w:hAnsi="宋体" w:cs="宋体"/>
          <w:color w:val="000000"/>
          <w:kern w:val="0"/>
          <w:sz w:val="23"/>
          <w:szCs w:val="23"/>
        </w:rPr>
      </w:pPr>
      <w:r>
        <w:rPr>
          <w:rFonts w:hint="eastAsia" w:ascii="宋体" w:hAnsi="宋体" w:cs="宋体"/>
          <w:color w:val="000000"/>
          <w:kern w:val="0"/>
          <w:sz w:val="23"/>
          <w:szCs w:val="23"/>
        </w:rPr>
        <w:t>自本项目公告发布之日起</w:t>
      </w:r>
      <w:r>
        <w:rPr>
          <w:rFonts w:hint="eastAsia" w:ascii="宋体" w:hAnsi="宋体" w:cs="宋体"/>
          <w:color w:val="000000"/>
          <w:kern w:val="0"/>
          <w:sz w:val="23"/>
          <w:szCs w:val="23"/>
          <w:lang w:val="en-US" w:eastAsia="zh-CN"/>
        </w:rPr>
        <w:t>10</w:t>
      </w:r>
      <w:r>
        <w:rPr>
          <w:rFonts w:hint="eastAsia" w:ascii="宋体" w:hAnsi="宋体" w:cs="宋体"/>
          <w:color w:val="000000"/>
          <w:kern w:val="0"/>
          <w:sz w:val="23"/>
          <w:szCs w:val="23"/>
        </w:rPr>
        <w:t>个工作日。</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r>
        <w:rPr>
          <w:rFonts w:hint="eastAsia" w:ascii="Times New Roman" w:hAnsi="Times New Roman" w:eastAsia="黑体" w:cs="Times New Roman"/>
          <w:b/>
          <w:color w:val="auto"/>
          <w:kern w:val="2"/>
          <w:sz w:val="32"/>
          <w:szCs w:val="20"/>
          <w:highlight w:val="none"/>
          <w:lang w:val="en-US" w:eastAsia="zh-CN" w:bidi="ar-SA"/>
        </w:rPr>
        <w:t>7、其它补充事宜</w:t>
      </w:r>
    </w:p>
    <w:p>
      <w:pPr>
        <w:pStyle w:val="60"/>
        <w:rPr>
          <w:rFonts w:hint="eastAsia"/>
        </w:rPr>
      </w:pPr>
      <w:r>
        <w:rPr>
          <w:rFonts w:hint="eastAsia"/>
        </w:rPr>
        <w:t xml:space="preserve"> </w:t>
      </w:r>
      <w:r>
        <w:t xml:space="preserve">    </w:t>
      </w:r>
      <w:r>
        <w:rPr>
          <w:rFonts w:hint="eastAsia"/>
        </w:rPr>
        <w:t>无</w:t>
      </w:r>
    </w:p>
    <w:p>
      <w:pPr>
        <w:widowControl/>
        <w:spacing w:line="550" w:lineRule="exact"/>
        <w:rPr>
          <w:rFonts w:hint="eastAsia" w:ascii="Times New Roman" w:hAnsi="Times New Roman" w:eastAsia="黑体" w:cs="Times New Roman"/>
          <w:b/>
          <w:color w:val="auto"/>
          <w:kern w:val="2"/>
          <w:sz w:val="32"/>
          <w:szCs w:val="20"/>
          <w:highlight w:val="none"/>
          <w:lang w:val="en-US" w:eastAsia="zh-CN" w:bidi="ar-SA"/>
        </w:rPr>
      </w:pPr>
      <w:bookmarkStart w:id="32" w:name="_Toc35393627"/>
      <w:bookmarkStart w:id="33" w:name="_Toc35393796"/>
      <w:bookmarkStart w:id="34" w:name="_Toc28359085"/>
      <w:bookmarkStart w:id="35" w:name="_Toc28359008"/>
      <w:r>
        <w:rPr>
          <w:rFonts w:hint="eastAsia" w:ascii="Times New Roman" w:hAnsi="Times New Roman" w:eastAsia="黑体" w:cs="Times New Roman"/>
          <w:b/>
          <w:color w:val="auto"/>
          <w:kern w:val="2"/>
          <w:sz w:val="32"/>
          <w:szCs w:val="20"/>
          <w:highlight w:val="none"/>
          <w:lang w:val="en-US" w:eastAsia="zh-CN" w:bidi="ar-SA"/>
        </w:rPr>
        <w:t>8、对本次采购提出询问，请按以下方式联系</w:t>
      </w:r>
      <w:bookmarkEnd w:id="32"/>
      <w:bookmarkEnd w:id="33"/>
      <w:bookmarkEnd w:id="34"/>
      <w:bookmarkEnd w:id="35"/>
      <w:bookmarkStart w:id="36" w:name="_Toc28359087"/>
      <w:bookmarkStart w:id="37" w:name="_Toc28359010"/>
    </w:p>
    <w:p>
      <w:pPr>
        <w:widowControl/>
        <w:spacing w:line="360" w:lineRule="auto"/>
        <w:ind w:firstLine="720" w:firstLineChars="300"/>
        <w:jc w:val="left"/>
        <w:rPr>
          <w:rFonts w:hint="eastAsia" w:ascii="宋体" w:hAnsi="宋体" w:eastAsia="宋体" w:cs="宋体"/>
          <w:sz w:val="24"/>
          <w:szCs w:val="24"/>
          <w:lang w:val="en-US" w:eastAsia="zh-CN"/>
        </w:rPr>
      </w:pPr>
      <w:bookmarkStart w:id="38" w:name="_Toc28359086"/>
      <w:bookmarkStart w:id="39" w:name="_Toc28359009"/>
      <w:r>
        <w:rPr>
          <w:rFonts w:hint="eastAsia" w:ascii="宋体" w:hAnsi="宋体" w:eastAsia="宋体" w:cs="宋体"/>
          <w:sz w:val="24"/>
          <w:szCs w:val="24"/>
          <w:lang w:val="en-US" w:eastAsia="zh-CN"/>
        </w:rPr>
        <w:t>8.1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采购人信息</w:t>
      </w:r>
    </w:p>
    <w:p>
      <w:pPr>
        <w:widowControl/>
        <w:spacing w:line="360" w:lineRule="auto"/>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r>
        <w:rPr>
          <w:rFonts w:hint="eastAsia" w:ascii="宋体" w:hAnsi="宋体" w:cs="宋体"/>
          <w:sz w:val="24"/>
          <w:szCs w:val="24"/>
          <w:lang w:val="en-US" w:eastAsia="zh-CN"/>
        </w:rPr>
        <w:t>郎溪县中</w:t>
      </w:r>
      <w:r>
        <w:rPr>
          <w:rFonts w:hint="eastAsia" w:ascii="宋体" w:hAnsi="宋体" w:eastAsia="宋体" w:cs="宋体"/>
          <w:sz w:val="24"/>
          <w:szCs w:val="24"/>
          <w:lang w:val="en-US" w:eastAsia="zh-CN"/>
        </w:rPr>
        <w:t>医院</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地   址：安徽省宣城市</w:t>
      </w:r>
      <w:r>
        <w:rPr>
          <w:rFonts w:hint="eastAsia" w:ascii="宋体" w:hAnsi="宋体" w:cs="宋体"/>
          <w:sz w:val="24"/>
          <w:szCs w:val="24"/>
          <w:lang w:val="en-US" w:eastAsia="zh-CN"/>
        </w:rPr>
        <w:t>郎溪县建平镇亭子山路99号</w:t>
      </w:r>
    </w:p>
    <w:p>
      <w:pPr>
        <w:widowControl/>
        <w:spacing w:line="360" w:lineRule="auto"/>
        <w:ind w:firstLine="720" w:firstLineChars="300"/>
        <w:jc w:val="left"/>
        <w:rPr>
          <w:rFonts w:hint="eastAsia"/>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段科长</w:t>
      </w:r>
    </w:p>
    <w:p>
      <w:pPr>
        <w:widowControl/>
        <w:spacing w:line="360" w:lineRule="auto"/>
        <w:ind w:firstLine="720" w:firstLineChars="3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联系方式：0563-</w:t>
      </w:r>
      <w:r>
        <w:rPr>
          <w:rFonts w:hint="eastAsia" w:ascii="宋体" w:hAnsi="宋体" w:cs="宋体"/>
          <w:sz w:val="24"/>
          <w:szCs w:val="24"/>
          <w:lang w:val="en-US" w:eastAsia="zh-CN"/>
        </w:rPr>
        <w:t>7015797</w:t>
      </w:r>
    </w:p>
    <w:bookmarkEnd w:id="36"/>
    <w:bookmarkEnd w:id="37"/>
    <w:bookmarkEnd w:id="38"/>
    <w:bookmarkEnd w:id="39"/>
    <w:p>
      <w:pPr>
        <w:spacing w:line="400" w:lineRule="exact"/>
        <w:ind w:firstLine="420" w:firstLineChars="200"/>
        <w:rPr>
          <w:rFonts w:ascii="Times New Roman" w:hAnsi="Times New Roman"/>
          <w:color w:val="auto"/>
          <w:highlight w:val="none"/>
        </w:rPr>
      </w:pPr>
    </w:p>
    <w:bookmarkEnd w:id="18"/>
    <w:bookmarkEnd w:id="19"/>
    <w:bookmarkEnd w:id="20"/>
    <w:bookmarkEnd w:id="21"/>
    <w:bookmarkEnd w:id="22"/>
    <w:bookmarkEnd w:id="23"/>
    <w:bookmarkEnd w:id="24"/>
    <w:bookmarkEnd w:id="25"/>
    <w:bookmarkEnd w:id="26"/>
    <w:bookmarkEnd w:id="27"/>
    <w:bookmarkEnd w:id="28"/>
    <w:p>
      <w:pPr>
        <w:spacing w:line="400" w:lineRule="exact"/>
        <w:rPr>
          <w:rFonts w:hint="default" w:ascii="Times New Roman" w:hAnsi="Times New Roman" w:eastAsia="宋体"/>
          <w:color w:val="auto"/>
          <w:highlight w:val="none"/>
          <w:lang w:val="en-US" w:eastAsia="zh-CN"/>
        </w:rPr>
      </w:pPr>
    </w:p>
    <w:p>
      <w:pPr>
        <w:spacing w:line="40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none"/>
        </w:rPr>
        <w:t>　</w:t>
      </w:r>
      <w:r>
        <w:rPr>
          <w:rFonts w:hint="eastAsia" w:ascii="Times New Roman" w:hAnsi="Times New Roman"/>
          <w:color w:val="auto"/>
          <w:highlight w:val="none"/>
          <w:u w:val="single"/>
          <w:lang w:val="en-US" w:eastAsia="zh-CN"/>
        </w:rPr>
        <w:t>2025</w:t>
      </w:r>
      <w:r>
        <w:rPr>
          <w:rFonts w:ascii="Times New Roman" w:hAnsi="Times New Roman"/>
          <w:color w:val="auto"/>
          <w:highlight w:val="none"/>
          <w:u w:val="single"/>
        </w:rPr>
        <w:t>年</w:t>
      </w:r>
      <w:r>
        <w:rPr>
          <w:rFonts w:hint="eastAsia" w:ascii="Times New Roman" w:hAnsi="Times New Roman"/>
          <w:color w:val="auto"/>
          <w:highlight w:val="none"/>
          <w:u w:val="single"/>
          <w:lang w:val="en-US" w:eastAsia="zh-CN"/>
        </w:rPr>
        <w:t>12</w:t>
      </w:r>
      <w:r>
        <w:rPr>
          <w:rFonts w:ascii="Times New Roman" w:hAnsi="Times New Roman"/>
          <w:color w:val="auto"/>
          <w:highlight w:val="none"/>
          <w:u w:val="single"/>
        </w:rPr>
        <w:t>月</w:t>
      </w:r>
      <w:r>
        <w:rPr>
          <w:rFonts w:hint="eastAsia" w:ascii="Times New Roman" w:hAnsi="Times New Roman"/>
          <w:color w:val="auto"/>
          <w:highlight w:val="none"/>
          <w:u w:val="single"/>
          <w:lang w:val="en-US" w:eastAsia="zh-CN"/>
        </w:rPr>
        <w:t>3</w:t>
      </w:r>
      <w:r>
        <w:rPr>
          <w:rFonts w:ascii="Times New Roman" w:hAnsi="Times New Roman"/>
          <w:color w:val="auto"/>
          <w:highlight w:val="none"/>
          <w:u w:val="single"/>
        </w:rPr>
        <w:t>日</w:t>
      </w:r>
    </w:p>
    <w:p>
      <w:pPr>
        <w:spacing w:line="400" w:lineRule="exact"/>
        <w:jc w:val="right"/>
        <w:rPr>
          <w:rFonts w:ascii="Times New Roman" w:hAnsi="Times New Roman"/>
          <w:color w:val="auto"/>
          <w:highlight w:val="none"/>
        </w:rPr>
      </w:pPr>
      <w:r>
        <w:rPr>
          <w:rFonts w:ascii="Times New Roman" w:hAnsi="Times New Roman"/>
          <w:color w:val="auto"/>
          <w:highlight w:val="none"/>
        </w:rPr>
        <w:br w:type="page"/>
      </w:r>
    </w:p>
    <w:p>
      <w:pPr>
        <w:pStyle w:val="3"/>
        <w:spacing w:line="240" w:lineRule="auto"/>
        <w:jc w:val="center"/>
        <w:rPr>
          <w:color w:val="auto"/>
          <w:highlight w:val="none"/>
        </w:rPr>
      </w:pPr>
      <w:bookmarkStart w:id="40" w:name="_Toc11855"/>
      <w:bookmarkStart w:id="41" w:name="_Toc501460648"/>
      <w:r>
        <w:rPr>
          <w:color w:val="auto"/>
          <w:highlight w:val="none"/>
        </w:rPr>
        <w:t>第二章</w:t>
      </w:r>
      <w:r>
        <w:rPr>
          <w:rFonts w:hint="eastAsia"/>
          <w:color w:val="auto"/>
          <w:highlight w:val="none"/>
        </w:rPr>
        <w:t xml:space="preserve">  供应商</w:t>
      </w:r>
      <w:r>
        <w:rPr>
          <w:color w:val="auto"/>
          <w:highlight w:val="none"/>
        </w:rPr>
        <w:t>须知</w:t>
      </w:r>
      <w:bookmarkEnd w:id="40"/>
      <w:bookmarkEnd w:id="41"/>
    </w:p>
    <w:p>
      <w:pPr>
        <w:pStyle w:val="4"/>
        <w:spacing w:line="240" w:lineRule="auto"/>
        <w:jc w:val="center"/>
        <w:rPr>
          <w:color w:val="auto"/>
          <w:highlight w:val="none"/>
        </w:rPr>
      </w:pPr>
      <w:bookmarkStart w:id="42" w:name="_Toc246996174"/>
      <w:bookmarkStart w:id="43" w:name="_Toc5256"/>
      <w:bookmarkStart w:id="44" w:name="_Toc246996917"/>
      <w:bookmarkStart w:id="45" w:name="_Toc247085688"/>
      <w:bookmarkStart w:id="46" w:name="_Toc152042304"/>
      <w:bookmarkStart w:id="47" w:name="_Toc144974496"/>
      <w:bookmarkStart w:id="48" w:name="_Toc296602419"/>
      <w:bookmarkStart w:id="49" w:name="_Toc152045528"/>
      <w:bookmarkStart w:id="50" w:name="_Toc179632545"/>
      <w:r>
        <w:rPr>
          <w:rFonts w:hint="eastAsia"/>
          <w:color w:val="auto"/>
          <w:highlight w:val="none"/>
        </w:rPr>
        <w:t>供应商须知前附表</w:t>
      </w:r>
      <w:bookmarkEnd w:id="42"/>
      <w:bookmarkEnd w:id="43"/>
      <w:bookmarkEnd w:id="44"/>
      <w:bookmarkEnd w:id="45"/>
      <w:bookmarkEnd w:id="46"/>
      <w:bookmarkEnd w:id="47"/>
      <w:bookmarkEnd w:id="48"/>
      <w:bookmarkEnd w:id="49"/>
      <w:bookmarkEnd w:id="50"/>
    </w:p>
    <w:tbl>
      <w:tblPr>
        <w:tblStyle w:val="36"/>
        <w:tblW w:w="8755" w:type="dxa"/>
        <w:tblInd w:w="0" w:type="dxa"/>
        <w:tblLayout w:type="fixed"/>
        <w:tblCellMar>
          <w:top w:w="0" w:type="dxa"/>
          <w:left w:w="108" w:type="dxa"/>
          <w:bottom w:w="0" w:type="dxa"/>
          <w:right w:w="108" w:type="dxa"/>
        </w:tblCellMar>
      </w:tblPr>
      <w:tblGrid>
        <w:gridCol w:w="1008"/>
        <w:gridCol w:w="3211"/>
        <w:gridCol w:w="4536"/>
      </w:tblGrid>
      <w:tr>
        <w:tblPrEx>
          <w:tblLayout w:type="fixed"/>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条款号</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条  款  名  称</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b/>
                <w:color w:val="auto"/>
                <w:szCs w:val="21"/>
                <w:highlight w:val="none"/>
              </w:rPr>
              <w:t>编  列  内  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1.7.1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踏勘现场</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不组织</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组织，踏勘时间：</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踏勘集中地点：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1.8</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询比采购预备会</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 w:val="21"/>
                <w:szCs w:val="21"/>
                <w:highlight w:val="none"/>
              </w:rPr>
              <w:t>不召开</w:t>
            </w:r>
          </w:p>
          <w:p>
            <w:pPr>
              <w:snapToGrid w:val="0"/>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召开，召开时间：</w:t>
            </w:r>
          </w:p>
          <w:p>
            <w:pPr>
              <w:pStyle w:val="11"/>
              <w:topLinePunct/>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       </w:t>
            </w:r>
            <w:r>
              <w:rPr>
                <w:rFonts w:ascii="Times New Roman" w:hAnsi="Times New Roman" w:eastAsia="宋体"/>
                <w:color w:val="auto"/>
                <w:sz w:val="21"/>
                <w:szCs w:val="21"/>
                <w:highlight w:val="none"/>
              </w:rPr>
              <w:t>召开地点：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1.10.2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对非关键条款的</w:t>
            </w:r>
            <w:r>
              <w:rPr>
                <w:rFonts w:ascii="Times New Roman" w:hAnsi="Times New Roman" w:eastAsia="宋体"/>
                <w:color w:val="auto"/>
                <w:szCs w:val="21"/>
                <w:highlight w:val="none"/>
              </w:rPr>
              <w:t>偏差</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hint="eastAsia"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允许偏差的范围：</w:t>
            </w:r>
            <w:r>
              <w:rPr>
                <w:rFonts w:hint="eastAsia" w:ascii="Times New Roman" w:hAnsi="Times New Roman"/>
                <w:color w:val="auto"/>
                <w:sz w:val="21"/>
                <w:szCs w:val="21"/>
                <w:highlight w:val="none"/>
                <w:lang w:val="en-US" w:eastAsia="zh-CN"/>
              </w:rPr>
              <w:t>/</w:t>
            </w:r>
          </w:p>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允许偏差的项数：</w:t>
            </w:r>
            <w:r>
              <w:rPr>
                <w:rFonts w:hint="eastAsia" w:ascii="Times New Roman" w:hAnsi="Times New Roman"/>
                <w:color w:val="auto"/>
                <w:sz w:val="21"/>
                <w:szCs w:val="21"/>
                <w:highlight w:val="none"/>
                <w:u w:val="single"/>
                <w:lang w:val="en-US" w:eastAsia="zh-CN"/>
              </w:rPr>
              <w:t>/</w:t>
            </w:r>
            <w:r>
              <w:rPr>
                <w:rFonts w:ascii="Times New Roman" w:hAnsi="Times New Roman" w:eastAsia="宋体"/>
                <w:color w:val="auto"/>
                <w:sz w:val="21"/>
                <w:szCs w:val="21"/>
                <w:highlight w:val="none"/>
              </w:rPr>
              <w:t>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2.1（7）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构成采购文件的其他资料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color w:val="auto"/>
                <w:szCs w:val="21"/>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供应商要求澄清采购文件的时间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供应商确认收到采购</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文件补充文件</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确认的最晚时间：</w:t>
            </w:r>
            <w:r>
              <w:rPr>
                <w:rFonts w:hint="eastAsia" w:ascii="Times New Roman" w:hAnsi="Times New Roman" w:eastAsia="宋体"/>
                <w:color w:val="auto"/>
                <w:szCs w:val="21"/>
                <w:highlight w:val="none"/>
                <w:lang w:val="en-US" w:eastAsia="zh-CN"/>
              </w:rPr>
              <w:t>开标</w:t>
            </w:r>
            <w:r>
              <w:rPr>
                <w:rFonts w:ascii="Times New Roman" w:hAnsi="Times New Roman" w:eastAsia="宋体"/>
                <w:color w:val="auto"/>
                <w:szCs w:val="21"/>
                <w:highlight w:val="none"/>
              </w:rPr>
              <w:t>截止时间</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确认的方式：</w:t>
            </w:r>
            <w:r>
              <w:rPr>
                <w:rFonts w:hint="eastAsia" w:ascii="Times New Roman" w:hAnsi="Times New Roman"/>
                <w:color w:val="auto"/>
                <w:szCs w:val="21"/>
                <w:highlight w:val="none"/>
                <w:lang w:val="en-US" w:eastAsia="zh-CN"/>
              </w:rPr>
              <w:t>网上获取</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3.1.1（9）</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构成响应文件的其他资料</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资料名称：</w:t>
            </w:r>
            <w:r>
              <w:rPr>
                <w:rFonts w:hint="eastAsia" w:ascii="Times New Roman" w:hAnsi="Times New Roman" w:eastAsia="宋体"/>
                <w:color w:val="auto"/>
                <w:szCs w:val="21"/>
                <w:highlight w:val="none"/>
                <w:lang w:val="en-US" w:eastAsia="zh-CN"/>
              </w:rPr>
              <w:t>详见</w:t>
            </w:r>
            <w:r>
              <w:rPr>
                <w:rFonts w:ascii="Times New Roman" w:hAnsi="Times New Roman" w:eastAsia="宋体"/>
                <w:color w:val="auto"/>
                <w:szCs w:val="21"/>
                <w:highlight w:val="none"/>
              </w:rPr>
              <w:t>第</w:t>
            </w:r>
            <w:r>
              <w:rPr>
                <w:rFonts w:hint="eastAsia" w:ascii="Times New Roman" w:hAnsi="Times New Roman"/>
                <w:color w:val="auto"/>
                <w:szCs w:val="21"/>
                <w:highlight w:val="none"/>
                <w:lang w:val="en-US" w:eastAsia="zh-CN"/>
              </w:rPr>
              <w:t>六</w:t>
            </w:r>
            <w:r>
              <w:rPr>
                <w:rFonts w:ascii="Times New Roman" w:hAnsi="Times New Roman" w:eastAsia="宋体"/>
                <w:color w:val="auto"/>
                <w:szCs w:val="21"/>
                <w:highlight w:val="none"/>
              </w:rPr>
              <w:t>章</w:t>
            </w:r>
            <w:r>
              <w:rPr>
                <w:rFonts w:hint="eastAsia" w:ascii="Times New Roman" w:hAnsi="Times New Roman" w:eastAsia="宋体"/>
                <w:color w:val="auto"/>
                <w:szCs w:val="21"/>
                <w:highlight w:val="none"/>
              </w:rPr>
              <w:t>响应文件</w:t>
            </w:r>
            <w:r>
              <w:rPr>
                <w:rFonts w:ascii="Times New Roman" w:hAnsi="Times New Roman" w:eastAsia="宋体"/>
                <w:color w:val="auto"/>
                <w:szCs w:val="21"/>
                <w:highlight w:val="none"/>
              </w:rPr>
              <w:t>格式</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t>采购标的数量增减幅度：</w:t>
            </w:r>
            <w:r>
              <w:rPr>
                <w:rFonts w:hint="eastAsia" w:ascii="Times New Roman" w:hAnsi="Times New Roman"/>
                <w:color w:val="auto"/>
                <w:szCs w:val="21"/>
                <w:highlight w:val="none"/>
                <w:u w:val="single"/>
                <w:lang w:val="en-US" w:eastAsia="zh-CN"/>
              </w:rPr>
              <w:t>/</w:t>
            </w:r>
            <w:r>
              <w:rPr>
                <w:rFonts w:ascii="Times New Roman" w:hAnsi="Times New Roman" w:eastAsia="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最高限价或其计算方法</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无</w:t>
            </w:r>
          </w:p>
          <w:p>
            <w:pPr>
              <w:snapToGrid w:val="0"/>
              <w:jc w:val="left"/>
              <w:rPr>
                <w:rFonts w:hint="default" w:ascii="Times New Roman" w:hAnsi="Times New Roman" w:eastAsia="宋体"/>
                <w:color w:val="auto"/>
                <w:szCs w:val="21"/>
                <w:highlight w:val="none"/>
                <w:lang w:val="en-US" w:eastAsia="zh-CN"/>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有，最高限价或其计算方法：</w:t>
            </w:r>
            <w:r>
              <w:rPr>
                <w:rFonts w:hint="eastAsia" w:ascii="Times New Roman" w:hAnsi="Times New Roman"/>
                <w:color w:val="auto"/>
                <w:szCs w:val="21"/>
                <w:highlight w:val="none"/>
                <w:u w:val="single"/>
                <w:lang w:val="en-US" w:eastAsia="zh-CN"/>
              </w:rPr>
              <w:t>0.98万元</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3.2.4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报价的其他要求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响应报价包括货物、运输保险（包括运输至采购人指定地点卸车就位）至验收和售后服务的一切费用、管理费、利润和税金，以及采购合同中明示或暗示的所有责任、义务和风险。</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3.3.1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响应文件有效期</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szCs w:val="21"/>
                <w:highlight w:val="none"/>
                <w:lang w:val="en-US" w:eastAsia="zh-CN"/>
              </w:rPr>
              <w:t>90日历日</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响应保证金</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是否要求供应商提交响应保证金：</w:t>
            </w:r>
          </w:p>
          <w:p>
            <w:pPr>
              <w:pStyle w:val="11"/>
              <w:topLinePunct/>
              <w:snapToGrid w:val="0"/>
              <w:ind w:firstLine="210" w:firstLineChars="100"/>
              <w:rPr>
                <w:rFonts w:hint="eastAsia" w:ascii="Times New Roman" w:hAnsi="Times New Roman" w:eastAsia="宋体"/>
                <w:color w:val="auto"/>
                <w:sz w:val="21"/>
                <w:szCs w:val="21"/>
                <w:highlight w:val="none"/>
              </w:rPr>
            </w:pPr>
            <w:r>
              <w:rPr>
                <w:rFonts w:hint="eastAsia" w:ascii="Times New Roman" w:hAnsi="Times New Roman"/>
                <w:color w:val="auto"/>
                <w:sz w:val="21"/>
                <w:szCs w:val="21"/>
                <w:highlight w:val="none"/>
                <w:lang w:eastAsia="zh-CN"/>
              </w:rPr>
              <w:sym w:font="Wingdings 2" w:char="0052"/>
            </w:r>
            <w:r>
              <w:rPr>
                <w:rFonts w:hint="eastAsia" w:ascii="Times New Roman" w:hAnsi="Times New Roman" w:eastAsia="宋体"/>
                <w:color w:val="auto"/>
                <w:sz w:val="21"/>
                <w:szCs w:val="21"/>
                <w:highlight w:val="none"/>
              </w:rPr>
              <w:t>不要求。</w:t>
            </w:r>
          </w:p>
          <w:p>
            <w:pPr>
              <w:pStyle w:val="11"/>
              <w:topLinePunct/>
              <w:snapToGrid w:val="0"/>
              <w:ind w:firstLine="210" w:firstLineChars="100"/>
              <w:rPr>
                <w:rFonts w:ascii="Times New Roman" w:hAnsi="Times New Roman" w:eastAsia="宋体"/>
                <w:color w:val="auto"/>
                <w:highlight w:val="none"/>
              </w:rPr>
            </w:pPr>
            <w:r>
              <w:rPr>
                <w:rFonts w:hint="eastAsia" w:ascii="Times New Roman" w:hAnsi="Times New Roman" w:eastAsia="宋体"/>
                <w:color w:val="auto"/>
                <w:sz w:val="21"/>
                <w:szCs w:val="21"/>
                <w:highlight w:val="none"/>
              </w:rPr>
              <w:t>□要求，响应保证金的金额：</w:t>
            </w:r>
            <w:r>
              <w:rPr>
                <w:rFonts w:hint="eastAsia" w:ascii="Times New Roman" w:hAnsi="Times New Roman"/>
                <w:color w:val="auto"/>
                <w:sz w:val="21"/>
                <w:szCs w:val="21"/>
                <w:highlight w:val="none"/>
                <w:lang w:val="en-US" w:eastAsia="zh-CN"/>
              </w:rPr>
              <w:t>/</w:t>
            </w:r>
            <w:r>
              <w:rPr>
                <w:rFonts w:hint="eastAsia" w:ascii="Times New Roman" w:hAnsi="Times New Roman" w:eastAsia="宋体"/>
                <w:color w:val="auto"/>
                <w:sz w:val="21"/>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确定成交供应商后3个工作日内退还。</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不退还响应保证金的其他情形</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1、未按采购文件要求交纳采购代理服务费的；</w:t>
            </w:r>
          </w:p>
          <w:p>
            <w:pPr>
              <w:topLinePunct/>
              <w:snapToGrid w:val="0"/>
              <w:jc w:val="left"/>
              <w:rPr>
                <w:rFonts w:ascii="Times New Roman" w:hAnsi="Times New Roman" w:eastAsia="宋体"/>
                <w:color w:val="auto"/>
                <w:sz w:val="32"/>
                <w:szCs w:val="32"/>
                <w:highlight w:val="none"/>
              </w:rPr>
            </w:pPr>
            <w:r>
              <w:rPr>
                <w:rFonts w:hint="eastAsia" w:ascii="Times New Roman" w:hAnsi="Times New Roman" w:eastAsia="宋体" w:cs="Times New Roman"/>
                <w:color w:val="auto"/>
                <w:kern w:val="2"/>
                <w:sz w:val="21"/>
                <w:szCs w:val="21"/>
                <w:highlight w:val="none"/>
                <w:lang w:val="en-US" w:eastAsia="zh-CN" w:bidi="ar-SA"/>
              </w:rPr>
              <w:t>2、已被证实在参加本项目询比采购响应活动中存在弄虚作假或围标、串标等违法情形的；</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依法设立的证明材料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t>供应商应提供市场监管部门或其他行政机关颁发的可以合法开展业务的执照或证书复印件</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资质要求证明材料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color w:val="auto"/>
                <w:szCs w:val="21"/>
                <w:highlight w:val="none"/>
              </w:rPr>
            </w:pPr>
            <w:r>
              <w:rPr>
                <w:rFonts w:ascii="Times New Roman" w:hAnsi="Times New Roman" w:eastAsia="宋体"/>
                <w:color w:val="auto"/>
                <w:highlight w:val="none"/>
              </w:rPr>
              <w:sym w:font="Wingdings 2" w:char="0052"/>
            </w:r>
            <w:r>
              <w:rPr>
                <w:rFonts w:ascii="Times New Roman" w:hAnsi="Times New Roman" w:eastAsia="宋体"/>
                <w:color w:val="auto"/>
                <w:szCs w:val="21"/>
                <w:highlight w:val="none"/>
              </w:rPr>
              <w:t>适用。供应商应提供相关资质证书副本的复印件，以证明供应商具有承担本项目要求的资质</w:t>
            </w:r>
          </w:p>
          <w:p>
            <w:pPr>
              <w:topLinePunct/>
              <w:snapToGrid w:val="0"/>
              <w:jc w:val="left"/>
              <w:rPr>
                <w:rFonts w:hint="default" w:ascii="Times New Roman" w:hAnsi="Times New Roman" w:eastAsia="宋体"/>
                <w:color w:val="auto"/>
                <w:highlight w:val="none"/>
                <w:lang w:val="en-US" w:eastAsia="zh-CN"/>
              </w:rPr>
            </w:pPr>
            <w:r>
              <w:rPr>
                <w:rFonts w:ascii="Times New Roman" w:hAnsi="Times New Roman" w:eastAsia="宋体"/>
                <w:color w:val="auto"/>
                <w:szCs w:val="21"/>
                <w:highlight w:val="none"/>
              </w:rPr>
              <w:t>资质证书</w:t>
            </w:r>
            <w:r>
              <w:rPr>
                <w:rFonts w:ascii="Times New Roman" w:hAnsi="Times New Roman" w:eastAsia="宋体"/>
                <w:color w:val="auto"/>
                <w:highlight w:val="none"/>
              </w:rPr>
              <w:t>包括：</w:t>
            </w:r>
            <w:r>
              <w:rPr>
                <w:rFonts w:hint="eastAsia" w:ascii="Times New Roman" w:hAnsi="Times New Roman"/>
                <w:color w:val="auto"/>
                <w:highlight w:val="none"/>
                <w:u w:val="singl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 xml:space="preserve">3.5（3） </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财务要求证明材料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业绩要求证明材料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不适用</w:t>
            </w:r>
          </w:p>
          <w:p>
            <w:pPr>
              <w:topLinePunct/>
              <w:snapToGrid w:val="0"/>
              <w:jc w:val="left"/>
              <w:rPr>
                <w:rFonts w:ascii="Times New Roman" w:hAnsi="Times New Roman" w:eastAsia="宋体"/>
                <w:iCs/>
                <w:color w:val="auto"/>
                <w:sz w:val="21"/>
                <w:szCs w:val="21"/>
                <w:highlight w:val="none"/>
              </w:rPr>
            </w:pPr>
            <w:r>
              <w:rPr>
                <w:rFonts w:ascii="Times New Roman" w:hAnsi="Times New Roman" w:eastAsia="宋体"/>
                <w:color w:val="auto"/>
                <w:szCs w:val="21"/>
                <w:highlight w:val="none"/>
              </w:rPr>
              <w:sym w:font="Wingdings 2" w:char="0052"/>
            </w:r>
            <w:r>
              <w:rPr>
                <w:rFonts w:ascii="Times New Roman" w:hAnsi="Times New Roman" w:eastAsia="宋体"/>
                <w:color w:val="auto"/>
                <w:szCs w:val="21"/>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3.5（5）</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信誉要求证明材料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iCs/>
                <w:color w:val="auto"/>
                <w:highlight w:val="none"/>
              </w:rPr>
            </w:pPr>
            <w:r>
              <w:rPr>
                <w:rFonts w:hint="eastAsia" w:ascii="Times New Roman" w:hAnsi="Times New Roman"/>
                <w:color w:val="auto"/>
                <w:highlight w:val="none"/>
                <w:lang w:val="en-US" w:eastAsia="zh-CN"/>
              </w:rPr>
              <w:t>按响应文件给定的信誉承诺格式如实承诺，无须另行提供证明材料</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承担本项目的主要人员</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要求证明材料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sz w:val="32"/>
                <w:szCs w:val="32"/>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3.5（7）</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其他要求的证明材料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hint="default" w:ascii="Times New Roman" w:hAnsi="Times New Roman" w:eastAsia="宋体"/>
                <w:color w:val="auto"/>
                <w:sz w:val="32"/>
                <w:szCs w:val="32"/>
                <w:highlight w:val="none"/>
                <w:lang w:val="en-US" w:eastAsia="zh-CN"/>
              </w:rPr>
            </w:pPr>
            <w:r>
              <w:rPr>
                <w:rFonts w:hint="eastAsia" w:ascii="Times New Roman" w:hAnsi="Times New Roman" w:eastAsia="宋体" w:cs="Times New Roman"/>
                <w:color w:val="auto"/>
                <w:highlight w:val="none"/>
                <w:lang w:val="en-US" w:eastAsia="zh-CN"/>
              </w:rPr>
              <w:t>详见询比公告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3.5（</w:t>
            </w:r>
            <w:r>
              <w:rPr>
                <w:rFonts w:hint="eastAsia" w:ascii="Times New Roman" w:hAnsi="Times New Roman"/>
                <w:color w:val="auto"/>
                <w:szCs w:val="21"/>
                <w:highlight w:val="none"/>
                <w:lang w:val="en-US" w:eastAsia="zh-CN"/>
              </w:rPr>
              <w:t>8</w:t>
            </w:r>
            <w:r>
              <w:rPr>
                <w:rFonts w:ascii="Times New Roman" w:hAnsi="Times New Roman" w:eastAsia="宋体"/>
                <w:color w:val="auto"/>
                <w:szCs w:val="21"/>
                <w:highlight w:val="none"/>
              </w:rPr>
              <w:t>）</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联合体要求的证明材料</w:t>
            </w:r>
          </w:p>
        </w:tc>
        <w:tc>
          <w:tcPr>
            <w:tcW w:w="4536" w:type="dxa"/>
            <w:tcBorders>
              <w:top w:val="single" w:color="auto" w:sz="4" w:space="0"/>
              <w:left w:val="single" w:color="auto" w:sz="4" w:space="0"/>
              <w:bottom w:val="single" w:color="auto" w:sz="4" w:space="0"/>
              <w:right w:val="single" w:color="auto" w:sz="4" w:space="0"/>
            </w:tcBorders>
            <w:vAlign w:val="center"/>
          </w:tcPr>
          <w:p>
            <w:p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不适用</w:t>
            </w:r>
          </w:p>
          <w:p>
            <w:pPr>
              <w:numPr>
                <w:ilvl w:val="0"/>
                <w:numId w:val="0"/>
              </w:numPr>
              <w:topLinePunct/>
              <w:snapToGrid w:val="0"/>
              <w:jc w:val="left"/>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适用。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3.6.1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对关键条款进行响应的证据或</w:t>
            </w:r>
          </w:p>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证明材料要求</w:t>
            </w: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0"/>
              </w:numPr>
              <w:topLinePunct/>
              <w:snapToGrid w:val="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r>
              <w:rPr>
                <w:rFonts w:hint="eastAsia" w:ascii="Times New Roman" w:hAnsi="Times New Roman"/>
                <w:color w:val="auto"/>
                <w:szCs w:val="21"/>
                <w:highlight w:val="none"/>
                <w:lang w:val="en-US" w:eastAsia="zh-CN"/>
              </w:rPr>
              <w:t>7</w:t>
            </w:r>
            <w:r>
              <w:rPr>
                <w:rFonts w:hint="eastAsia" w:ascii="Times New Roman" w:hAnsi="Times New Roman" w:eastAsia="宋体"/>
                <w:color w:val="auto"/>
                <w:szCs w:val="21"/>
                <w:highlight w:val="none"/>
              </w:rPr>
              <w:t>.</w:t>
            </w:r>
            <w:r>
              <w:rPr>
                <w:rFonts w:hint="eastAsia" w:ascii="Times New Roman" w:hAnsi="Times New Roman"/>
                <w:color w:val="auto"/>
                <w:szCs w:val="21"/>
                <w:highlight w:val="none"/>
                <w:lang w:val="en-US" w:eastAsia="zh-CN"/>
              </w:rPr>
              <w:t>2</w:t>
            </w:r>
            <w:r>
              <w:rPr>
                <w:rFonts w:hint="eastAsia" w:ascii="Times New Roman" w:hAnsi="Times New Roman" w:eastAsia="宋体"/>
                <w:color w:val="auto"/>
                <w:szCs w:val="21"/>
                <w:highlight w:val="none"/>
              </w:rPr>
              <w:t>（A）（1）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响应文件签字盖章要求</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符合</w:t>
            </w:r>
            <w:r>
              <w:rPr>
                <w:rFonts w:hint="eastAsia" w:ascii="Times New Roman" w:hAnsi="Times New Roman"/>
                <w:color w:val="auto"/>
                <w:szCs w:val="21"/>
                <w:highlight w:val="none"/>
                <w:lang w:val="en-US" w:eastAsia="zh-CN"/>
              </w:rPr>
              <w:t>询比采购</w:t>
            </w:r>
            <w:r>
              <w:rPr>
                <w:rFonts w:hint="eastAsia" w:ascii="Times New Roman" w:hAnsi="Times New Roman" w:eastAsia="宋体"/>
                <w:color w:val="auto"/>
                <w:szCs w:val="21"/>
                <w:highlight w:val="none"/>
              </w:rPr>
              <w:t>文件规定的响应文件格式要求</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（A）（2）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响应文件副本份数及其他要求</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（1）响应文件份数：</w:t>
            </w:r>
            <w:r>
              <w:rPr>
                <w:rFonts w:hint="eastAsia" w:ascii="宋体" w:hAnsi="宋体" w:eastAsia="宋体" w:cs="宋体"/>
                <w:color w:val="auto"/>
                <w:sz w:val="21"/>
                <w:szCs w:val="21"/>
                <w:highlight w:val="none"/>
                <w:u w:val="single"/>
              </w:rPr>
              <w:t>除正本一份外，还需提供副本</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份。</w:t>
            </w:r>
          </w:p>
          <w:p>
            <w:pPr>
              <w:widowControl/>
              <w:topLinePunct/>
              <w:adjustRightInd w:val="0"/>
              <w:snapToGrid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（2）是否要求提交电子版响应文件：</w:t>
            </w:r>
            <w:r>
              <w:rPr>
                <w:rFonts w:hint="eastAsia" w:ascii="宋体" w:hAnsi="宋体" w:eastAsia="宋体" w:cs="宋体"/>
                <w:color w:val="auto"/>
                <w:sz w:val="21"/>
                <w:szCs w:val="21"/>
                <w:highlight w:val="none"/>
                <w:u w:val="single"/>
              </w:rPr>
              <w:t>建议供应商提交的响应文件电子文件一份，可以采用光盘或优盘的形式，可随响应文件正本一起密封提供，或单独提供。无论是否提交电子版响应文件，均不影响其响应文件的有效性。</w:t>
            </w:r>
          </w:p>
          <w:p>
            <w:pPr>
              <w:widowControl/>
              <w:topLinePunct/>
              <w:adjustRightInd w:val="0"/>
              <w:snapToGrid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（3）其他要求：</w:t>
            </w:r>
            <w:r>
              <w:rPr>
                <w:rFonts w:hint="eastAsia" w:ascii="宋体" w:hAnsi="宋体" w:cs="宋体"/>
                <w:i/>
                <w:color w:val="auto"/>
                <w:sz w:val="21"/>
                <w:szCs w:val="21"/>
                <w:highlight w:val="none"/>
                <w:u w:val="singl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响应文件是否需要分册装订</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不需要</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4.1.2</w:t>
            </w:r>
          </w:p>
        </w:tc>
        <w:tc>
          <w:tcPr>
            <w:tcW w:w="3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olor w:val="auto"/>
                <w:szCs w:val="21"/>
                <w:highlight w:val="none"/>
              </w:rPr>
            </w:pPr>
            <w:r>
              <w:rPr>
                <w:rFonts w:ascii="Times New Roman" w:hAnsi="Times New Roman"/>
                <w:color w:val="auto"/>
                <w:highlight w:val="none"/>
              </w:rPr>
              <w:t>封套上应载明的信息</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（多包采购的，还应注明包名称及包号）</w:t>
            </w:r>
          </w:p>
          <w:p>
            <w:pPr>
              <w:pStyle w:val="11"/>
              <w:topLinePunct/>
              <w:spacing w:line="400" w:lineRule="exact"/>
              <w:rPr>
                <w:rFonts w:ascii="Times New Roman" w:hAnsi="Times New Roman" w:eastAsia="宋体"/>
                <w:color w:val="auto"/>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（联合体响应的，注明牵头人名称）</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val="en-US" w:eastAsia="zh-CN"/>
              </w:rPr>
            </w:pPr>
            <w:r>
              <w:rPr>
                <w:rFonts w:ascii="Times New Roman" w:hAnsi="Times New Roman" w:eastAsia="宋体"/>
                <w:color w:val="auto"/>
                <w:szCs w:val="21"/>
                <w:highlight w:val="none"/>
              </w:rPr>
              <w:t>4.2.1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递交响应文件的截止时间和地点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截止时间：</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t>递交响应文件的地点：</w:t>
            </w:r>
            <w:r>
              <w:rPr>
                <w:rFonts w:hint="eastAsia" w:ascii="Times New Roman" w:hAnsi="Times New Roman" w:eastAsia="宋体"/>
                <w:color w:val="auto"/>
                <w:highlight w:val="none"/>
                <w:u w:val="single"/>
                <w:lang w:val="en-US" w:eastAsia="zh-CN"/>
              </w:rPr>
              <w:t>见采购公告</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4.2.2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是否退还响应文件</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sym w:font="Wingdings 2" w:char="0052"/>
            </w:r>
            <w:r>
              <w:rPr>
                <w:rFonts w:ascii="Times New Roman" w:hAnsi="Times New Roman" w:eastAsia="宋体"/>
                <w:color w:val="auto"/>
                <w:sz w:val="21"/>
                <w:szCs w:val="21"/>
                <w:highlight w:val="none"/>
              </w:rPr>
              <w:t>否</w:t>
            </w:r>
          </w:p>
          <w:p>
            <w:pPr>
              <w:snapToGrid w:val="0"/>
              <w:rPr>
                <w:rFonts w:ascii="Times New Roman" w:hAnsi="Times New Roman" w:eastAsia="宋体"/>
                <w:color w:val="auto"/>
                <w:szCs w:val="21"/>
                <w:highlight w:val="none"/>
              </w:rPr>
            </w:pPr>
            <w:r>
              <w:rPr>
                <w:rFonts w:ascii="Times New Roman" w:hAnsi="Times New Roman" w:eastAsia="宋体"/>
                <w:color w:val="auto"/>
                <w:szCs w:val="21"/>
                <w:highlight w:val="none"/>
              </w:rPr>
              <w:sym w:font="Wingdings 2" w:char="00A3"/>
            </w:r>
            <w:r>
              <w:rPr>
                <w:rFonts w:ascii="Times New Roman" w:hAnsi="Times New Roman" w:eastAsia="宋体"/>
                <w:color w:val="auto"/>
                <w:szCs w:val="21"/>
                <w:highlight w:val="none"/>
              </w:rPr>
              <w:t>是，退还时间：</w:t>
            </w:r>
            <w:r>
              <w:rPr>
                <w:rFonts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4.3.3</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供应商撤回响应文件情况下</w:t>
            </w:r>
          </w:p>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退还响应保证金的时间</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Times New Roman" w:hAnsi="Times New Roman" w:eastAsia="宋体"/>
                <w:color w:val="auto"/>
                <w:sz w:val="32"/>
                <w:szCs w:val="32"/>
                <w:highlight w:val="none"/>
              </w:rPr>
            </w:pPr>
            <w:r>
              <w:rPr>
                <w:rFonts w:ascii="Times New Roman" w:hAnsi="Times New Roman" w:eastAsia="宋体"/>
                <w:color w:val="auto"/>
                <w:szCs w:val="21"/>
                <w:highlight w:val="none"/>
              </w:rPr>
              <w:t>自采购人收到供应商递交的书面通知之日起</w:t>
            </w:r>
            <w:r>
              <w:rPr>
                <w:rFonts w:hint="eastAsia" w:ascii="Times New Roman" w:hAnsi="Times New Roman"/>
                <w:color w:val="auto"/>
                <w:szCs w:val="21"/>
                <w:highlight w:val="none"/>
                <w:u w:val="single"/>
                <w:lang w:val="en-US" w:eastAsia="zh-CN"/>
              </w:rPr>
              <w:t>3</w:t>
            </w:r>
            <w:r>
              <w:rPr>
                <w:rFonts w:ascii="Times New Roman" w:hAnsi="Times New Roman" w:eastAsia="宋体"/>
                <w:color w:val="auto"/>
                <w:szCs w:val="21"/>
                <w:highlight w:val="none"/>
              </w:rPr>
              <w:t>日内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hint="eastAsia" w:ascii="Times New Roman" w:hAnsi="Times New Roman" w:eastAsia="宋体"/>
                <w:color w:val="auto"/>
                <w:szCs w:val="21"/>
                <w:highlight w:val="none"/>
                <w:lang w:eastAsia="zh-CN"/>
              </w:rPr>
            </w:pPr>
            <w:r>
              <w:rPr>
                <w:rFonts w:ascii="Times New Roman" w:hAnsi="Times New Roman" w:eastAsia="宋体"/>
                <w:color w:val="auto"/>
                <w:szCs w:val="21"/>
                <w:highlight w:val="none"/>
              </w:rPr>
              <w:t>5.2（</w:t>
            </w:r>
            <w:r>
              <w:rPr>
                <w:rFonts w:hint="eastAsia" w:ascii="Times New Roman" w:hAnsi="Times New Roman"/>
                <w:color w:val="auto"/>
                <w:szCs w:val="21"/>
                <w:highlight w:val="none"/>
                <w:lang w:val="en-US" w:eastAsia="zh-CN"/>
              </w:rPr>
              <w:t>3</w:t>
            </w:r>
            <w:r>
              <w:rPr>
                <w:rFonts w:ascii="Times New Roman" w:hAnsi="Times New Roman" w:eastAsia="宋体"/>
                <w:color w:val="auto"/>
                <w:szCs w:val="21"/>
                <w:highlight w:val="none"/>
              </w:rPr>
              <w:t>）</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开启程序</w:t>
            </w:r>
          </w:p>
        </w:tc>
        <w:tc>
          <w:tcPr>
            <w:tcW w:w="4536" w:type="dxa"/>
            <w:tcBorders>
              <w:top w:val="single" w:color="auto" w:sz="4" w:space="0"/>
              <w:left w:val="single" w:color="auto" w:sz="4" w:space="0"/>
              <w:right w:val="single" w:color="auto" w:sz="4" w:space="0"/>
            </w:tcBorders>
            <w:vAlign w:val="center"/>
          </w:tcPr>
          <w:p>
            <w:pPr>
              <w:snapToGrid w:val="0"/>
              <w:rPr>
                <w:rFonts w:hint="eastAsia" w:ascii="Times New Roman" w:hAnsi="Times New Roman" w:eastAsia="宋体"/>
                <w:color w:val="auto"/>
                <w:highlight w:val="none"/>
                <w:lang w:eastAsia="zh-CN"/>
              </w:rPr>
            </w:pPr>
            <w:r>
              <w:rPr>
                <w:rFonts w:ascii="Times New Roman" w:hAnsi="Times New Roman" w:eastAsia="宋体"/>
                <w:color w:val="auto"/>
                <w:highlight w:val="none"/>
              </w:rPr>
              <w:t>开启顺序：</w:t>
            </w:r>
            <w:r>
              <w:rPr>
                <w:rFonts w:hint="eastAsia" w:ascii="Times New Roman" w:hAnsi="Times New Roman"/>
                <w:color w:val="auto"/>
                <w:highlight w:val="none"/>
                <w:u w:val="single"/>
                <w:lang w:val="en-US" w:eastAsia="zh-CN"/>
              </w:rPr>
              <w:t>随机</w:t>
            </w:r>
          </w:p>
          <w:p>
            <w:pPr>
              <w:snapToGrid w:val="0"/>
              <w:rPr>
                <w:rFonts w:ascii="Times New Roman" w:hAnsi="Times New Roman" w:eastAsia="宋体"/>
                <w:color w:val="auto"/>
                <w:highlight w:val="none"/>
              </w:rPr>
            </w:pPr>
            <w:r>
              <w:rPr>
                <w:rFonts w:ascii="Times New Roman" w:hAnsi="Times New Roman" w:eastAsia="宋体"/>
                <w:color w:val="auto"/>
                <w:highlight w:val="none"/>
              </w:rPr>
              <w:t>其他应公布的信息：</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r>
              <w:rPr>
                <w:rFonts w:hint="eastAsia" w:ascii="Times New Roman" w:hAnsi="Times New Roman" w:eastAsia="宋体"/>
                <w:color w:val="auto"/>
                <w:szCs w:val="21"/>
                <w:highlight w:val="none"/>
              </w:rPr>
              <w:t>2</w:t>
            </w:r>
            <w:r>
              <w:rPr>
                <w:rFonts w:ascii="Times New Roman" w:hAnsi="Times New Roman" w:eastAsia="宋体"/>
                <w:color w:val="auto"/>
                <w:szCs w:val="21"/>
                <w:highlight w:val="none"/>
              </w:rPr>
              <w:t>.2</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推荐候选成交供应商的</w:t>
            </w:r>
          </w:p>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排序及</w:t>
            </w:r>
            <w:r>
              <w:rPr>
                <w:rFonts w:ascii="Times New Roman" w:hAnsi="Times New Roman" w:eastAsia="宋体"/>
                <w:color w:val="auto"/>
                <w:szCs w:val="21"/>
                <w:highlight w:val="none"/>
              </w:rPr>
              <w:t>数量</w:t>
            </w:r>
          </w:p>
        </w:tc>
        <w:tc>
          <w:tcPr>
            <w:tcW w:w="4536" w:type="dxa"/>
            <w:tcBorders>
              <w:top w:val="single" w:color="auto" w:sz="4" w:space="0"/>
              <w:left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2"/>
                <w:highlight w:val="none"/>
              </w:rPr>
            </w:pPr>
            <w:r>
              <w:rPr>
                <w:rFonts w:hint="eastAsia" w:ascii="Times New Roman" w:hAnsi="Times New Roman" w:eastAsia="宋体"/>
                <w:color w:val="auto"/>
                <w:sz w:val="21"/>
                <w:szCs w:val="21"/>
                <w:highlight w:val="none"/>
              </w:rPr>
              <w:t>是</w:t>
            </w:r>
            <w:r>
              <w:rPr>
                <w:rFonts w:hint="eastAsia" w:ascii="Times New Roman" w:hAnsi="Times New Roman" w:eastAsia="宋体"/>
                <w:color w:val="auto"/>
                <w:sz w:val="21"/>
                <w:szCs w:val="22"/>
                <w:highlight w:val="none"/>
              </w:rPr>
              <w:t>否排序：</w:t>
            </w:r>
          </w:p>
          <w:p>
            <w:pPr>
              <w:pStyle w:val="11"/>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52"/>
            </w:r>
            <w:r>
              <w:rPr>
                <w:rFonts w:hint="eastAsia" w:ascii="Times New Roman" w:hAnsi="Times New Roman" w:eastAsia="宋体"/>
                <w:color w:val="auto"/>
                <w:sz w:val="21"/>
                <w:szCs w:val="22"/>
                <w:highlight w:val="none"/>
              </w:rPr>
              <w:t>排序</w:t>
            </w:r>
          </w:p>
          <w:p>
            <w:pPr>
              <w:pStyle w:val="11"/>
              <w:topLinePunct/>
              <w:snapToGrid w:val="0"/>
              <w:rPr>
                <w:rFonts w:ascii="Times New Roman" w:hAnsi="Times New Roman" w:eastAsia="宋体"/>
                <w:color w:val="auto"/>
                <w:sz w:val="21"/>
                <w:szCs w:val="22"/>
                <w:highlight w:val="none"/>
              </w:rPr>
            </w:pPr>
            <w:r>
              <w:rPr>
                <w:rFonts w:ascii="Times New Roman" w:hAnsi="Times New Roman" w:eastAsia="宋体"/>
                <w:color w:val="auto"/>
                <w:sz w:val="21"/>
                <w:szCs w:val="22"/>
                <w:highlight w:val="none"/>
              </w:rPr>
              <w:sym w:font="Wingdings 2" w:char="00A3"/>
            </w:r>
            <w:r>
              <w:rPr>
                <w:rFonts w:hint="eastAsia" w:ascii="Times New Roman" w:hAnsi="Times New Roman" w:eastAsia="宋体"/>
                <w:color w:val="auto"/>
                <w:sz w:val="21"/>
                <w:szCs w:val="22"/>
                <w:highlight w:val="none"/>
              </w:rPr>
              <w:t>不</w:t>
            </w:r>
            <w:r>
              <w:rPr>
                <w:rFonts w:ascii="Times New Roman" w:hAnsi="Times New Roman" w:eastAsia="宋体"/>
                <w:color w:val="auto"/>
                <w:sz w:val="21"/>
                <w:szCs w:val="22"/>
                <w:highlight w:val="none"/>
              </w:rPr>
              <w:t>排序</w:t>
            </w:r>
          </w:p>
          <w:p>
            <w:pPr>
              <w:pStyle w:val="11"/>
              <w:topLinePunct/>
              <w:snapToGrid w:val="0"/>
              <w:rPr>
                <w:color w:val="auto"/>
                <w:sz w:val="21"/>
                <w:szCs w:val="21"/>
                <w:highlight w:val="none"/>
              </w:rPr>
            </w:pPr>
            <w:r>
              <w:rPr>
                <w:rFonts w:hint="eastAsia" w:ascii="Times New Roman" w:hAnsi="Times New Roman" w:eastAsia="宋体"/>
                <w:color w:val="auto"/>
                <w:sz w:val="21"/>
                <w:szCs w:val="22"/>
                <w:highlight w:val="none"/>
              </w:rPr>
              <w:t>数量：</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w:t>
            </w:r>
            <w:r>
              <w:rPr>
                <w:rFonts w:hint="eastAsia" w:ascii="Times New Roman" w:hAnsi="Times New Roman" w:eastAsia="宋体"/>
                <w:color w:val="auto"/>
                <w:highlight w:val="none"/>
                <w:u w:val="singl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7.3</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highlight w:val="none"/>
              </w:rPr>
              <w:t>预成交结果公示</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t>公示媒介：</w:t>
            </w:r>
            <w:r>
              <w:rPr>
                <w:rFonts w:hint="eastAsia" w:ascii="Times New Roman" w:hAnsi="Times New Roman"/>
                <w:color w:val="auto"/>
                <w:highlight w:val="none"/>
                <w:u w:val="single"/>
                <w:lang w:eastAsia="zh-CN"/>
              </w:rPr>
              <w:t>郎溪县中医院官网（www.lxxzyy.net）</w:t>
            </w:r>
          </w:p>
          <w:p>
            <w:pPr>
              <w:snapToGrid w:val="0"/>
              <w:rPr>
                <w:rFonts w:ascii="Times New Roman" w:hAnsi="Times New Roman" w:eastAsia="宋体"/>
                <w:color w:val="auto"/>
                <w:highlight w:val="none"/>
              </w:rPr>
            </w:pPr>
            <w:r>
              <w:rPr>
                <w:rFonts w:ascii="Times New Roman" w:hAnsi="Times New Roman" w:eastAsia="宋体"/>
                <w:color w:val="auto"/>
                <w:highlight w:val="none"/>
              </w:rPr>
              <w:t>公示期限：</w:t>
            </w:r>
            <w:r>
              <w:rPr>
                <w:rFonts w:ascii="Times New Roman" w:hAnsi="Times New Roman" w:eastAsia="宋体"/>
                <w:color w:val="auto"/>
                <w:highlight w:val="none"/>
                <w:u w:val="single"/>
              </w:rPr>
              <w:t xml:space="preserve"> </w:t>
            </w:r>
            <w:r>
              <w:rPr>
                <w:rFonts w:hint="eastAsia" w:ascii="Times New Roman" w:hAnsi="Times New Roman"/>
                <w:color w:val="auto"/>
                <w:highlight w:val="none"/>
                <w:u w:val="single"/>
                <w:lang w:val="en-US" w:eastAsia="zh-CN"/>
              </w:rPr>
              <w:t>1日</w:t>
            </w:r>
            <w:r>
              <w:rPr>
                <w:rFonts w:ascii="Times New Roman" w:hAnsi="Times New Roman" w:eastAsia="宋体"/>
                <w:color w:val="auto"/>
                <w:highlight w:val="none"/>
                <w:u w:val="single"/>
              </w:rPr>
              <w:t xml:space="preserve">   </w:t>
            </w:r>
          </w:p>
          <w:p>
            <w:pPr>
              <w:pStyle w:val="12"/>
              <w:snapToGrid w:val="0"/>
              <w:spacing w:line="240" w:lineRule="auto"/>
              <w:rPr>
                <w:color w:val="auto"/>
                <w:highlight w:val="none"/>
              </w:rPr>
            </w:pPr>
            <w:r>
              <w:rPr>
                <w:rFonts w:hint="eastAsia" w:ascii="Times New Roman" w:hAnsi="Times New Roman" w:eastAsia="宋体" w:cs="Times New Roman"/>
                <w:color w:val="auto"/>
                <w:kern w:val="2"/>
                <w:sz w:val="21"/>
                <w:szCs w:val="22"/>
                <w:highlight w:val="none"/>
                <w:lang w:val="en-US" w:eastAsia="zh-CN" w:bidi="ar-SA"/>
              </w:rPr>
              <w:t xml:space="preserve">其他应公示的内容： /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321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hint="eastAsia" w:ascii="Times New Roman" w:hAnsi="Times New Roman" w:eastAsia="宋体"/>
                <w:color w:val="auto"/>
                <w:highlight w:val="none"/>
              </w:rPr>
              <w:t>发布成交公告</w:t>
            </w:r>
          </w:p>
        </w:tc>
        <w:tc>
          <w:tcPr>
            <w:tcW w:w="4536" w:type="dxa"/>
            <w:tcBorders>
              <w:top w:val="single" w:color="auto" w:sz="4" w:space="0"/>
              <w:left w:val="single" w:color="auto" w:sz="4" w:space="0"/>
              <w:right w:val="single" w:color="auto" w:sz="4" w:space="0"/>
            </w:tcBorders>
            <w:vAlign w:val="center"/>
          </w:tcPr>
          <w:p>
            <w:pPr>
              <w:snapToGrid w:val="0"/>
              <w:rPr>
                <w:rFonts w:ascii="Times New Roman" w:hAnsi="Times New Roman" w:eastAsia="宋体"/>
                <w:color w:val="auto"/>
                <w:highlight w:val="none"/>
              </w:rPr>
            </w:pP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期满无异议按</w:t>
            </w:r>
            <w:r>
              <w:rPr>
                <w:rFonts w:hint="eastAsia" w:ascii="Times New Roman" w:hAnsi="Times New Roman" w:eastAsia="宋体"/>
                <w:color w:val="auto"/>
                <w:highlight w:val="none"/>
              </w:rPr>
              <w:t>预成交结果公示</w:t>
            </w:r>
            <w:r>
              <w:rPr>
                <w:rFonts w:hint="eastAsia" w:ascii="Times New Roman" w:hAnsi="Times New Roman" w:eastAsia="宋体"/>
                <w:color w:val="auto"/>
                <w:highlight w:val="none"/>
                <w:lang w:val="en-US" w:eastAsia="zh-CN"/>
              </w:rPr>
              <w:t>结果确定成交供应商，</w:t>
            </w:r>
            <w:r>
              <w:rPr>
                <w:rFonts w:hint="eastAsia" w:ascii="Times New Roman" w:hAnsi="Times New Roman"/>
                <w:color w:val="auto"/>
                <w:highlight w:val="none"/>
                <w:lang w:val="en-US" w:eastAsia="zh-CN"/>
              </w:rPr>
              <w:t>不再发布成交公告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7.6</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履约保证金</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递交</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递交</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7.7.4</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签约合同价</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highlight w:val="none"/>
              </w:rPr>
              <w:t>异议渠道</w:t>
            </w:r>
          </w:p>
        </w:tc>
        <w:tc>
          <w:tcPr>
            <w:tcW w:w="4536" w:type="dxa"/>
            <w:tcBorders>
              <w:top w:val="single" w:color="auto" w:sz="4" w:space="0"/>
              <w:left w:val="single" w:color="auto" w:sz="4" w:space="0"/>
              <w:bottom w:val="single" w:color="auto" w:sz="4" w:space="0"/>
              <w:right w:val="single" w:color="auto" w:sz="4" w:space="0"/>
            </w:tcBorders>
            <w:vAlign w:val="center"/>
          </w:tcPr>
          <w:p>
            <w:pPr>
              <w:pStyle w:val="11"/>
              <w:topLinePunct/>
              <w:snapToGrid w:val="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联系人：</w:t>
            </w:r>
            <w:r>
              <w:rPr>
                <w:rFonts w:ascii="Times New Roman" w:hAnsi="Times New Roman" w:eastAsia="宋体"/>
                <w:color w:val="auto"/>
                <w:sz w:val="21"/>
                <w:szCs w:val="21"/>
                <w:highlight w:val="none"/>
                <w:u w:val="single"/>
              </w:rPr>
              <w:t xml:space="preserve"> </w:t>
            </w:r>
            <w:r>
              <w:rPr>
                <w:rFonts w:hint="eastAsia" w:ascii="Times New Roman" w:hAnsi="Times New Roman"/>
                <w:color w:val="auto"/>
                <w:sz w:val="21"/>
                <w:szCs w:val="21"/>
                <w:highlight w:val="none"/>
                <w:u w:val="single"/>
                <w:lang w:eastAsia="zh-CN"/>
              </w:rPr>
              <w:t>段科长</w:t>
            </w:r>
            <w:r>
              <w:rPr>
                <w:rFonts w:ascii="Times New Roman" w:hAnsi="Times New Roman" w:eastAsia="宋体"/>
                <w:color w:val="auto"/>
                <w:sz w:val="21"/>
                <w:szCs w:val="21"/>
                <w:highlight w:val="none"/>
                <w:u w:val="single"/>
              </w:rPr>
              <w:t xml:space="preserve"> </w:t>
            </w:r>
          </w:p>
          <w:p>
            <w:pPr>
              <w:pStyle w:val="11"/>
              <w:topLinePunct/>
              <w:snapToGrid w:val="0"/>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联系电话：</w:t>
            </w:r>
            <w:r>
              <w:rPr>
                <w:rFonts w:hint="eastAsia" w:ascii="Times New Roman" w:hAnsi="Times New Roman"/>
                <w:color w:val="auto"/>
                <w:sz w:val="21"/>
                <w:szCs w:val="21"/>
                <w:highlight w:val="none"/>
                <w:u w:val="single"/>
                <w:lang w:val="en-US" w:eastAsia="zh-CN"/>
              </w:rPr>
              <w:t>13865340288</w:t>
            </w:r>
          </w:p>
          <w:p>
            <w:pPr>
              <w:pStyle w:val="11"/>
              <w:topLinePunct/>
              <w:snapToGrid w:val="0"/>
              <w:rPr>
                <w:rFonts w:hint="eastAsia" w:ascii="Times New Roman" w:hAnsi="Times New Roman" w:eastAsia="宋体" w:cs="Times New Roman"/>
                <w:color w:val="auto"/>
                <w:sz w:val="21"/>
                <w:szCs w:val="21"/>
                <w:highlight w:val="none"/>
                <w:u w:val="single"/>
                <w:lang w:val="en-US" w:eastAsia="zh-CN"/>
              </w:rPr>
            </w:pPr>
            <w:r>
              <w:rPr>
                <w:rFonts w:ascii="Times New Roman" w:hAnsi="Times New Roman" w:eastAsia="宋体"/>
                <w:color w:val="auto"/>
                <w:sz w:val="21"/>
                <w:szCs w:val="21"/>
                <w:highlight w:val="none"/>
              </w:rPr>
              <w:t>通</w:t>
            </w:r>
            <w:r>
              <w:rPr>
                <w:rFonts w:hint="eastAsia" w:ascii="Times New Roman" w:hAnsi="Times New Roman" w:eastAsia="宋体"/>
                <w:color w:val="auto"/>
                <w:sz w:val="21"/>
                <w:szCs w:val="21"/>
                <w:highlight w:val="none"/>
              </w:rPr>
              <w:t>信</w:t>
            </w:r>
            <w:r>
              <w:rPr>
                <w:rFonts w:ascii="Times New Roman" w:hAnsi="Times New Roman" w:eastAsia="宋体"/>
                <w:color w:val="auto"/>
                <w:sz w:val="21"/>
                <w:szCs w:val="21"/>
                <w:highlight w:val="none"/>
              </w:rPr>
              <w:t>地址：</w:t>
            </w:r>
            <w:r>
              <w:rPr>
                <w:rFonts w:hint="eastAsia" w:ascii="Times New Roman" w:hAnsi="Times New Roman"/>
                <w:color w:val="auto"/>
                <w:sz w:val="21"/>
                <w:szCs w:val="21"/>
                <w:highlight w:val="none"/>
                <w:u w:val="single"/>
                <w:lang w:eastAsia="zh-CN"/>
              </w:rPr>
              <w:t>安徽省郎溪县中医院医学装备科</w:t>
            </w:r>
          </w:p>
          <w:p>
            <w:pPr>
              <w:pStyle w:val="11"/>
              <w:topLinePunct/>
              <w:snapToGrid w:val="0"/>
              <w:rPr>
                <w:rFonts w:ascii="Times New Roman" w:hAnsi="Times New Roman" w:eastAsia="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8.2</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监督部门</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olor w:val="auto"/>
                <w:highlight w:val="none"/>
                <w:lang w:val="en-US"/>
              </w:rPr>
            </w:pPr>
            <w:r>
              <w:rPr>
                <w:rFonts w:hint="eastAsia" w:ascii="Times New Roman" w:hAnsi="Times New Roman" w:eastAsia="宋体" w:cs="Times New Roman"/>
                <w:color w:val="auto"/>
                <w:highlight w:val="none"/>
                <w:lang w:val="en-US" w:eastAsia="zh-CN"/>
              </w:rPr>
              <w:t>郎溪县中医院审计监督部</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10.1</w:t>
            </w:r>
          </w:p>
        </w:tc>
        <w:tc>
          <w:tcPr>
            <w:tcW w:w="32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b/>
                <w:color w:val="auto"/>
                <w:szCs w:val="21"/>
                <w:highlight w:val="none"/>
              </w:rPr>
            </w:pPr>
            <w:r>
              <w:rPr>
                <w:rFonts w:ascii="Times New Roman" w:hAnsi="Times New Roman" w:eastAsia="宋体"/>
                <w:color w:val="auto"/>
                <w:szCs w:val="21"/>
                <w:highlight w:val="none"/>
              </w:rPr>
              <w:t>采购代理服务费</w:t>
            </w:r>
          </w:p>
        </w:tc>
        <w:tc>
          <w:tcPr>
            <w:tcW w:w="453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52"/>
            </w:r>
            <w:r>
              <w:rPr>
                <w:rFonts w:ascii="Times New Roman" w:hAnsi="Times New Roman" w:eastAsia="宋体"/>
                <w:color w:val="auto"/>
                <w:highlight w:val="none"/>
              </w:rPr>
              <w:t>不要求</w:t>
            </w:r>
            <w:r>
              <w:rPr>
                <w:rFonts w:hint="eastAsia" w:ascii="Times New Roman" w:hAnsi="Times New Roman" w:eastAsia="宋体"/>
                <w:color w:val="auto"/>
                <w:highlight w:val="none"/>
              </w:rPr>
              <w:t>承担</w:t>
            </w:r>
          </w:p>
          <w:p>
            <w:pPr>
              <w:snapToGrid w:val="0"/>
              <w:rPr>
                <w:rFonts w:ascii="Times New Roman" w:hAnsi="Times New Roman" w:eastAsia="宋体"/>
                <w:color w:val="auto"/>
                <w:highlight w:val="none"/>
              </w:rPr>
            </w:pPr>
            <w:r>
              <w:rPr>
                <w:rFonts w:ascii="Times New Roman" w:hAnsi="Times New Roman" w:eastAsia="宋体"/>
                <w:color w:val="auto"/>
                <w:highlight w:val="none"/>
              </w:rPr>
              <w:sym w:font="Wingdings 2" w:char="00A3"/>
            </w:r>
            <w:r>
              <w:rPr>
                <w:rFonts w:ascii="Times New Roman" w:hAnsi="Times New Roman" w:eastAsia="宋体"/>
                <w:color w:val="auto"/>
                <w:highlight w:val="none"/>
              </w:rPr>
              <w:t>要求</w:t>
            </w:r>
            <w:r>
              <w:rPr>
                <w:rFonts w:hint="eastAsia" w:ascii="Times New Roman" w:hAnsi="Times New Roman" w:eastAsia="宋体"/>
                <w:color w:val="auto"/>
                <w:highlight w:val="none"/>
              </w:rPr>
              <w:t>承担</w:t>
            </w:r>
          </w:p>
          <w:p>
            <w:pPr>
              <w:snapToGrid w:val="0"/>
              <w:ind w:firstLine="210" w:firstLineChars="100"/>
              <w:rPr>
                <w:rFonts w:ascii="Times New Roman" w:hAnsi="Times New Roman" w:eastAsia="宋体"/>
                <w:color w:val="auto"/>
                <w:szCs w:val="21"/>
                <w:highlight w:val="none"/>
              </w:rPr>
            </w:pPr>
            <w:r>
              <w:rPr>
                <w:rFonts w:ascii="Times New Roman" w:hAnsi="Times New Roman" w:eastAsia="宋体"/>
                <w:color w:val="auto"/>
                <w:highlight w:val="none"/>
              </w:rPr>
              <w:t>费用标准或金额：</w:t>
            </w:r>
            <w:r>
              <w:rPr>
                <w:rFonts w:hint="eastAsia" w:ascii="Times New Roman" w:hAnsi="Times New Roman"/>
                <w:color w:val="auto"/>
                <w:highlight w:val="none"/>
                <w:lang w:eastAsia="zh-CN"/>
              </w:rPr>
              <w:t>无</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10.2</w:t>
            </w:r>
          </w:p>
        </w:tc>
        <w:tc>
          <w:tcPr>
            <w:tcW w:w="77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olor w:val="auto"/>
                <w:highlight w:val="none"/>
              </w:rPr>
            </w:pPr>
            <w:r>
              <w:rPr>
                <w:rFonts w:ascii="Times New Roman" w:hAnsi="Times New Roman" w:eastAsia="宋体"/>
                <w:color w:val="auto"/>
                <w:highlight w:val="none"/>
              </w:rPr>
              <w:t>需要补充的其他内容</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2（1）</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不采用电子采购</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2（2）</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文件各个组成部分的文件，未经采购人书面同意，供应商不得擅自复印和用于非本</w:t>
            </w:r>
            <w:r>
              <w:rPr>
                <w:rFonts w:hint="eastAsia" w:ascii="宋体" w:hAnsi="宋体" w:cs="宋体"/>
                <w:color w:val="auto"/>
                <w:sz w:val="21"/>
                <w:szCs w:val="21"/>
                <w:highlight w:val="none"/>
                <w:lang w:eastAsia="zh-CN"/>
              </w:rPr>
              <w:t>询比</w:t>
            </w:r>
            <w:r>
              <w:rPr>
                <w:rFonts w:hint="eastAsia" w:ascii="宋体" w:hAnsi="宋体" w:eastAsia="宋体" w:cs="宋体"/>
                <w:color w:val="auto"/>
                <w:sz w:val="21"/>
                <w:szCs w:val="21"/>
                <w:highlight w:val="none"/>
              </w:rPr>
              <w:t>采购项目所需的其他目的。如因此导致采购人损失的，供应商须承担全部赔偿责任。</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在中华人民共和国境内使用成交货物、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2（3）</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投标专用章、业务专用章等效力规定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明确要求加盖公章的，供应商必须加盖供应商公章。在有授权文件(原件)表明投标专用章、业务专用章等法律效力等同于供应商公章的情况下，可以加盖投标专用章或业务专用章，否则将导致响应文件无效。</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2（4）</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参与多包</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的规定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不适用</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供应商可对本项目一个或多个包进行响应，也可成为多个包的成交供应商。</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□供应商可对本项目一个或多个包进行响应，但只能成为一个包的成交供应商。如一个供应商在多个包评审中均排序第一，则以供应商在响应函中自行选择优先顺序确定成交标包。</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2（5）</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相关提示</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文件中所称时间均指北京时间。</w:t>
            </w:r>
          </w:p>
          <w:p>
            <w:pPr>
              <w:widowControl/>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（2）供应商应注意规定的开启响应文件的地点和提交首次响应文件截止时间，为了使采购工作有条不紊进行，避免响应文件迟交的情况发生，</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文件要求供应商到达开启响应文件现场的，建议供应商提前</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分钟到达。</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2（6）</w:t>
            </w:r>
          </w:p>
        </w:tc>
        <w:tc>
          <w:tcPr>
            <w:tcW w:w="32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文件的解释</w:t>
            </w:r>
          </w:p>
        </w:tc>
        <w:tc>
          <w:tcPr>
            <w:tcW w:w="453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文件的各个组成文件应互为解释，互为说明；如有不明确或不一致，除</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阶段规定的，按</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公告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询比采购邀请书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须知、评审办法、响应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宋体" w:cs="宋体"/>
                <w:bCs/>
                <w:color w:val="auto"/>
                <w:sz w:val="21"/>
                <w:szCs w:val="21"/>
                <w:highlight w:val="none"/>
              </w:rPr>
              <w:t>由采购人和采购代理机构负责解释。</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8"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2（7）</w:t>
            </w:r>
          </w:p>
        </w:tc>
        <w:tc>
          <w:tcPr>
            <w:tcW w:w="32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原则规定与定义</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（1）供应商须知前附表是对供应商须知正文对应条款的补充、细化，供应商阅读时应与正文一并阅读。</w:t>
            </w:r>
            <w:r>
              <w:rPr>
                <w:rFonts w:hint="eastAsia" w:ascii="宋体" w:hAnsi="宋体" w:eastAsia="宋体" w:cs="宋体"/>
                <w:i/>
                <w:color w:val="auto"/>
                <w:sz w:val="21"/>
                <w:szCs w:val="21"/>
                <w:highlight w:val="none"/>
              </w:rPr>
              <w:t>(供应商须知前附表内容不得与供应商须知正文内容相抵触，否则抵触内容无效。)</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文件选定的内容；“□”符号表示本</w:t>
            </w:r>
            <w:r>
              <w:rPr>
                <w:rFonts w:hint="eastAsia" w:ascii="宋体" w:hAnsi="宋体" w:cs="宋体"/>
                <w:color w:val="auto"/>
                <w:sz w:val="21"/>
                <w:szCs w:val="21"/>
                <w:highlight w:val="none"/>
                <w:lang w:eastAsia="zh-CN"/>
              </w:rPr>
              <w:t>询比采购</w:t>
            </w:r>
            <w:r>
              <w:rPr>
                <w:rFonts w:hint="eastAsia" w:ascii="宋体" w:hAnsi="宋体" w:eastAsia="宋体" w:cs="宋体"/>
                <w:color w:val="auto"/>
                <w:sz w:val="21"/>
                <w:szCs w:val="21"/>
                <w:highlight w:val="none"/>
              </w:rPr>
              <w:t>文件未选定的内容；空格中的“/”表示没有具体内容。供应商请按“</w:t>
            </w:r>
            <w:r>
              <w:rPr>
                <w:rFonts w:hint="eastAsia" w:ascii="宋体" w:hAnsi="宋体" w:eastAsia="宋体" w:cs="宋体"/>
                <w:color w:val="auto"/>
                <w:sz w:val="21"/>
                <w:szCs w:val="21"/>
                <w:highlight w:val="none"/>
              </w:rPr>
              <w:sym w:font="Wingdings" w:char="F0FE"/>
            </w:r>
            <w:r>
              <w:rPr>
                <w:rFonts w:hint="eastAsia" w:ascii="宋体" w:hAnsi="宋体" w:eastAsia="宋体" w:cs="宋体"/>
                <w:color w:val="auto"/>
                <w:sz w:val="21"/>
                <w:szCs w:val="21"/>
                <w:highlight w:val="none"/>
              </w:rPr>
              <w:t>符号”选定的内容和要求参加采购活动。</w:t>
            </w:r>
          </w:p>
          <w:p>
            <w:pPr>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（3）与合同履行有关条款中注明的“甲方”、“买方”，在采购阶段按“采购人”理解；注明的“乙方”、“卖方”，按“供应商”理解。</w:t>
            </w:r>
          </w:p>
        </w:tc>
      </w:tr>
    </w:tbl>
    <w:p>
      <w:pPr>
        <w:spacing w:line="400" w:lineRule="exact"/>
        <w:rPr>
          <w:color w:val="auto"/>
          <w:highlight w:val="none"/>
        </w:rPr>
      </w:pPr>
    </w:p>
    <w:p>
      <w:pPr>
        <w:pStyle w:val="4"/>
        <w:rPr>
          <w:rFonts w:ascii="Times New Roman" w:hAnsi="Times New Roman"/>
          <w:color w:val="auto"/>
          <w:highlight w:val="none"/>
        </w:rPr>
      </w:pPr>
      <w:bookmarkStart w:id="51" w:name="_Toc28544"/>
      <w:bookmarkStart w:id="52" w:name="_Toc501460650"/>
      <w:r>
        <w:rPr>
          <w:rFonts w:ascii="Times New Roman" w:hAnsi="Times New Roman"/>
          <w:color w:val="auto"/>
          <w:highlight w:val="none"/>
        </w:rPr>
        <w:br w:type="page"/>
      </w:r>
      <w:r>
        <w:rPr>
          <w:rFonts w:ascii="Times New Roman" w:hAnsi="Times New Roman"/>
          <w:color w:val="auto"/>
          <w:highlight w:val="none"/>
        </w:rPr>
        <w:t>1. 总则</w:t>
      </w:r>
      <w:bookmarkEnd w:id="51"/>
      <w:bookmarkEnd w:id="52"/>
    </w:p>
    <w:p>
      <w:pPr>
        <w:pStyle w:val="2"/>
        <w:spacing w:line="240" w:lineRule="auto"/>
        <w:ind w:firstLine="137"/>
        <w:rPr>
          <w:rFonts w:ascii="Times New Roman" w:hAnsi="Times New Roman"/>
          <w:color w:val="auto"/>
          <w:highlight w:val="none"/>
        </w:rPr>
      </w:pPr>
      <w:bookmarkStart w:id="53" w:name="_Toc11805"/>
      <w:bookmarkStart w:id="54" w:name="_Toc501460651"/>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采购方式</w:t>
      </w:r>
      <w:bookmarkEnd w:id="53"/>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本项目采用中国招标投标协会发布的《非招标方式采购代理服务规范》（T/CTBA001-2019）规定的询比采购方式。</w:t>
      </w:r>
    </w:p>
    <w:p>
      <w:pPr>
        <w:adjustRightInd w:val="0"/>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询比采购是指采购人组建评审小组与响应采购的供应商按照采购文件规定的规则和时间一次递交的响应文件进行评审，采购人根据评审小组的评审结果，选择确定成交供应商的采购方式。</w:t>
      </w:r>
    </w:p>
    <w:p>
      <w:pPr>
        <w:pStyle w:val="2"/>
        <w:spacing w:line="240" w:lineRule="auto"/>
        <w:ind w:firstLine="137"/>
        <w:rPr>
          <w:rFonts w:ascii="Times New Roman" w:hAnsi="Times New Roman"/>
          <w:color w:val="auto"/>
          <w:highlight w:val="none"/>
        </w:rPr>
      </w:pPr>
      <w:bookmarkStart w:id="55" w:name="_Toc23141"/>
      <w:r>
        <w:rPr>
          <w:rFonts w:ascii="Times New Roman" w:hAnsi="Times New Roman"/>
          <w:color w:val="auto"/>
          <w:highlight w:val="none"/>
        </w:rPr>
        <w:t xml:space="preserve">1.2 </w:t>
      </w:r>
      <w:r>
        <w:rPr>
          <w:rFonts w:hint="eastAsia" w:ascii="Times New Roman" w:hAnsi="Times New Roman"/>
          <w:color w:val="auto"/>
          <w:highlight w:val="none"/>
        </w:rPr>
        <w:t>采购项目</w:t>
      </w:r>
      <w:r>
        <w:rPr>
          <w:rFonts w:ascii="Times New Roman" w:hAnsi="Times New Roman"/>
          <w:color w:val="auto"/>
          <w:highlight w:val="none"/>
        </w:rPr>
        <w:t>概况</w:t>
      </w:r>
      <w:bookmarkEnd w:id="54"/>
      <w:r>
        <w:rPr>
          <w:rFonts w:hint="eastAsia" w:ascii="Times New Roman" w:hAnsi="Times New Roman"/>
          <w:color w:val="auto"/>
          <w:highlight w:val="none"/>
        </w:rPr>
        <w:t>和供应商</w:t>
      </w:r>
      <w:r>
        <w:rPr>
          <w:rFonts w:ascii="Times New Roman" w:hAnsi="Times New Roman"/>
          <w:color w:val="auto"/>
          <w:highlight w:val="none"/>
        </w:rPr>
        <w:t>资格要求</w:t>
      </w:r>
      <w:bookmarkEnd w:id="5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采购项目</w:t>
      </w:r>
      <w:r>
        <w:rPr>
          <w:rFonts w:ascii="Times New Roman" w:hAnsi="Times New Roman"/>
          <w:color w:val="auto"/>
          <w:highlight w:val="none"/>
        </w:rPr>
        <w:t>概况</w:t>
      </w:r>
      <w:r>
        <w:rPr>
          <w:rFonts w:hint="eastAsia" w:ascii="Times New Roman" w:hAnsi="Times New Roman"/>
          <w:color w:val="auto"/>
          <w:highlight w:val="none"/>
        </w:rPr>
        <w:t>和供应商</w:t>
      </w:r>
      <w:r>
        <w:rPr>
          <w:rFonts w:ascii="Times New Roman" w:hAnsi="Times New Roman"/>
          <w:color w:val="auto"/>
          <w:highlight w:val="none"/>
        </w:rPr>
        <w:t>资格要求</w:t>
      </w:r>
      <w:r>
        <w:rPr>
          <w:rFonts w:hint="eastAsia" w:ascii="Times New Roman" w:hAnsi="Times New Roman"/>
          <w:color w:val="auto"/>
          <w:highlight w:val="none"/>
        </w:rPr>
        <w:t>见第一章“询比采购公告/询比采购邀请书”。</w:t>
      </w:r>
    </w:p>
    <w:p>
      <w:pPr>
        <w:pStyle w:val="2"/>
        <w:spacing w:line="240" w:lineRule="auto"/>
        <w:ind w:firstLine="137"/>
        <w:rPr>
          <w:rFonts w:ascii="Times New Roman" w:hAnsi="Times New Roman"/>
          <w:color w:val="auto"/>
          <w:highlight w:val="none"/>
        </w:rPr>
      </w:pPr>
      <w:bookmarkStart w:id="56" w:name="_Toc22817"/>
      <w:r>
        <w:rPr>
          <w:rFonts w:ascii="Times New Roman" w:hAnsi="Times New Roman"/>
          <w:color w:val="auto"/>
          <w:highlight w:val="none"/>
        </w:rPr>
        <w:t>1.</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费用承担</w:t>
      </w:r>
      <w:bookmarkEnd w:id="5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准备和</w:t>
      </w:r>
      <w:r>
        <w:rPr>
          <w:rFonts w:hint="eastAsia" w:ascii="Times New Roman" w:hAnsi="Times New Roman"/>
          <w:color w:val="auto"/>
          <w:highlight w:val="none"/>
        </w:rPr>
        <w:t>参加询比采购活动所发</w:t>
      </w:r>
      <w:r>
        <w:rPr>
          <w:rFonts w:ascii="Times New Roman" w:hAnsi="Times New Roman"/>
          <w:color w:val="auto"/>
          <w:highlight w:val="none"/>
        </w:rPr>
        <w:t>生的</w:t>
      </w:r>
      <w:r>
        <w:rPr>
          <w:rFonts w:hint="eastAsia" w:ascii="Times New Roman" w:hAnsi="Times New Roman"/>
          <w:color w:val="auto"/>
          <w:highlight w:val="none"/>
        </w:rPr>
        <w:t>各种</w:t>
      </w:r>
      <w:r>
        <w:rPr>
          <w:rFonts w:ascii="Times New Roman" w:hAnsi="Times New Roman"/>
          <w:color w:val="auto"/>
          <w:highlight w:val="none"/>
        </w:rPr>
        <w:t>费用</w:t>
      </w:r>
      <w:r>
        <w:rPr>
          <w:rFonts w:hint="eastAsia" w:ascii="Times New Roman" w:hAnsi="Times New Roman"/>
          <w:color w:val="auto"/>
          <w:highlight w:val="none"/>
        </w:rPr>
        <w:t>由供应商自行承担</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57" w:name="_Toc501460656"/>
      <w:bookmarkStart w:id="58" w:name="_Toc24158"/>
      <w:r>
        <w:rPr>
          <w:rFonts w:ascii="Times New Roman" w:hAnsi="Times New Roman"/>
          <w:color w:val="auto"/>
          <w:highlight w:val="none"/>
        </w:rPr>
        <w:t>1.</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保密</w:t>
      </w:r>
      <w:bookmarkEnd w:id="57"/>
      <w:bookmarkEnd w:id="5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参与询比采购活动的各方应对采购文件和响应文件中的</w:t>
      </w:r>
      <w:bookmarkStart w:id="59" w:name="_Toc361508589"/>
      <w:bookmarkStart w:id="60" w:name="_Toc369531519"/>
      <w:bookmarkStart w:id="61" w:name="_Toc384308214"/>
      <w:bookmarkStart w:id="62" w:name="_Toc5326"/>
      <w:bookmarkStart w:id="63" w:name="_Toc352691477"/>
      <w:r>
        <w:rPr>
          <w:rFonts w:ascii="Times New Roman" w:hAnsi="Times New Roman"/>
          <w:color w:val="auto"/>
          <w:highlight w:val="none"/>
        </w:rPr>
        <w:t>商业和技术等秘密保密</w:t>
      </w:r>
      <w:bookmarkEnd w:id="59"/>
      <w:bookmarkEnd w:id="60"/>
      <w:bookmarkEnd w:id="61"/>
      <w:bookmarkEnd w:id="62"/>
      <w:bookmarkEnd w:id="63"/>
      <w:r>
        <w:rPr>
          <w:rFonts w:ascii="Times New Roman" w:hAnsi="Times New Roman"/>
          <w:color w:val="auto"/>
          <w:highlight w:val="none"/>
        </w:rPr>
        <w:t>，否则应承担相应的法律责任。</w:t>
      </w:r>
    </w:p>
    <w:p>
      <w:pPr>
        <w:pStyle w:val="2"/>
        <w:spacing w:line="240" w:lineRule="auto"/>
        <w:ind w:firstLine="137"/>
        <w:rPr>
          <w:rFonts w:ascii="Times New Roman" w:hAnsi="Times New Roman"/>
          <w:color w:val="auto"/>
          <w:highlight w:val="none"/>
        </w:rPr>
      </w:pPr>
      <w:bookmarkStart w:id="64" w:name="_Toc26057"/>
      <w:bookmarkStart w:id="65" w:name="_Toc501460657"/>
      <w:r>
        <w:rPr>
          <w:rFonts w:ascii="Times New Roman" w:hAnsi="Times New Roman"/>
          <w:color w:val="auto"/>
          <w:highlight w:val="none"/>
        </w:rPr>
        <w:t>1.</w:t>
      </w:r>
      <w:r>
        <w:rPr>
          <w:rFonts w:hint="eastAsia" w:ascii="Times New Roman" w:hAnsi="Times New Roman"/>
          <w:color w:val="auto"/>
          <w:highlight w:val="none"/>
        </w:rPr>
        <w:t>5</w:t>
      </w:r>
      <w:r>
        <w:rPr>
          <w:rFonts w:ascii="Times New Roman" w:hAnsi="Times New Roman"/>
          <w:color w:val="auto"/>
          <w:highlight w:val="none"/>
        </w:rPr>
        <w:t xml:space="preserve"> 语言文字</w:t>
      </w:r>
      <w:bookmarkEnd w:id="64"/>
      <w:bookmarkEnd w:id="6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采购文件</w:t>
      </w:r>
      <w:r>
        <w:rPr>
          <w:rFonts w:ascii="Times New Roman" w:hAnsi="Times New Roman"/>
          <w:color w:val="auto"/>
          <w:highlight w:val="none"/>
        </w:rPr>
        <w:t>和</w:t>
      </w:r>
      <w:r>
        <w:rPr>
          <w:rFonts w:hint="eastAsia" w:ascii="Times New Roman" w:hAnsi="Times New Roman"/>
          <w:color w:val="auto"/>
          <w:highlight w:val="none"/>
        </w:rPr>
        <w:t>响应文件</w:t>
      </w:r>
      <w:r>
        <w:rPr>
          <w:rFonts w:ascii="Times New Roman" w:hAnsi="Times New Roman"/>
          <w:color w:val="auto"/>
          <w:highlight w:val="none"/>
        </w:rPr>
        <w:t>使用的语言文字为中文。专用术语使用外文的，应附有中文注释。</w:t>
      </w:r>
    </w:p>
    <w:p>
      <w:pPr>
        <w:pStyle w:val="2"/>
        <w:spacing w:line="240" w:lineRule="auto"/>
        <w:ind w:firstLine="137"/>
        <w:rPr>
          <w:rFonts w:ascii="Times New Roman" w:hAnsi="Times New Roman"/>
          <w:color w:val="auto"/>
          <w:highlight w:val="none"/>
        </w:rPr>
      </w:pPr>
      <w:bookmarkStart w:id="66" w:name="_Toc501460658"/>
      <w:bookmarkStart w:id="67" w:name="_Toc30679"/>
      <w:r>
        <w:rPr>
          <w:rFonts w:ascii="Times New Roman" w:hAnsi="Times New Roman"/>
          <w:color w:val="auto"/>
          <w:highlight w:val="none"/>
        </w:rPr>
        <w:t>1.</w:t>
      </w:r>
      <w:r>
        <w:rPr>
          <w:rFonts w:hint="eastAsia" w:ascii="Times New Roman" w:hAnsi="Times New Roman"/>
          <w:color w:val="auto"/>
          <w:highlight w:val="none"/>
        </w:rPr>
        <w:t>6</w:t>
      </w:r>
      <w:r>
        <w:rPr>
          <w:rFonts w:ascii="Times New Roman" w:hAnsi="Times New Roman"/>
          <w:color w:val="auto"/>
          <w:highlight w:val="none"/>
        </w:rPr>
        <w:t xml:space="preserve"> 计量单位</w:t>
      </w:r>
      <w:bookmarkEnd w:id="66"/>
      <w:bookmarkEnd w:id="6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pPr>
        <w:pStyle w:val="2"/>
        <w:spacing w:line="240" w:lineRule="auto"/>
        <w:ind w:firstLine="137"/>
        <w:rPr>
          <w:rFonts w:ascii="Times New Roman" w:hAnsi="Times New Roman"/>
          <w:color w:val="auto"/>
          <w:highlight w:val="none"/>
        </w:rPr>
      </w:pPr>
      <w:bookmarkStart w:id="68" w:name="_Toc247527563"/>
      <w:bookmarkStart w:id="69" w:name="_Toc391393967"/>
      <w:bookmarkStart w:id="70" w:name="_Toc361508594"/>
      <w:bookmarkStart w:id="71" w:name="_Toc16297"/>
      <w:bookmarkStart w:id="72" w:name="_Toc152045539"/>
      <w:bookmarkStart w:id="73" w:name="_Toc144974507"/>
      <w:bookmarkStart w:id="74" w:name="_Toc152042315"/>
      <w:bookmarkStart w:id="75" w:name="_Toc482188480"/>
      <w:bookmarkStart w:id="76" w:name="_Toc384308219"/>
      <w:bookmarkStart w:id="77" w:name="_Toc247513962"/>
      <w:bookmarkStart w:id="78" w:name="_Toc370676289"/>
      <w:bookmarkStart w:id="79" w:name="_Toc300834959"/>
      <w:bookmarkStart w:id="80" w:name="_Toc501460401"/>
      <w:bookmarkStart w:id="81" w:name="_Toc501460659"/>
      <w:bookmarkStart w:id="82" w:name="_Toc485303284"/>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踏勘现场</w:t>
      </w:r>
      <w:bookmarkEnd w:id="68"/>
      <w:bookmarkEnd w:id="69"/>
      <w:bookmarkEnd w:id="70"/>
      <w:bookmarkEnd w:id="71"/>
      <w:bookmarkEnd w:id="72"/>
      <w:bookmarkEnd w:id="73"/>
      <w:bookmarkEnd w:id="74"/>
      <w:bookmarkEnd w:id="75"/>
      <w:bookmarkEnd w:id="76"/>
      <w:bookmarkEnd w:id="77"/>
      <w:bookmarkEnd w:id="78"/>
      <w:bookmarkEnd w:id="79"/>
      <w:bookmarkEnd w:id="8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 xml:space="preserve">.1 </w:t>
      </w:r>
      <w:r>
        <w:rPr>
          <w:rFonts w:hint="eastAsia" w:ascii="Times New Roman" w:hAnsi="Times New Roman"/>
          <w:color w:val="auto"/>
          <w:highlight w:val="none"/>
        </w:rPr>
        <w:t>供应商</w:t>
      </w:r>
      <w:r>
        <w:rPr>
          <w:rFonts w:ascii="Times New Roman" w:hAnsi="Times New Roman"/>
          <w:color w:val="auto"/>
          <w:highlight w:val="none"/>
        </w:rPr>
        <w:t>须知前附表规定组织踏勘现场的，</w:t>
      </w:r>
      <w:r>
        <w:rPr>
          <w:rFonts w:hint="eastAsia" w:ascii="Times New Roman" w:hAnsi="Times New Roman"/>
          <w:color w:val="auto"/>
          <w:highlight w:val="none"/>
        </w:rPr>
        <w:t>采购</w:t>
      </w:r>
      <w:r>
        <w:rPr>
          <w:rFonts w:ascii="Times New Roman" w:hAnsi="Times New Roman"/>
          <w:color w:val="auto"/>
          <w:highlight w:val="none"/>
        </w:rPr>
        <w:t>人按</w:t>
      </w:r>
      <w:r>
        <w:rPr>
          <w:rFonts w:hint="eastAsia" w:ascii="Times New Roman" w:hAnsi="Times New Roman"/>
          <w:color w:val="auto"/>
          <w:highlight w:val="none"/>
        </w:rPr>
        <w:t>供应商须知前附表</w:t>
      </w:r>
      <w:r>
        <w:rPr>
          <w:rFonts w:ascii="Times New Roman" w:hAnsi="Times New Roman"/>
          <w:color w:val="auto"/>
          <w:highlight w:val="none"/>
        </w:rPr>
        <w:t>规定的时间、地点组织</w:t>
      </w:r>
      <w:r>
        <w:rPr>
          <w:rFonts w:hint="eastAsia" w:ascii="Times New Roman" w:hAnsi="Times New Roman"/>
          <w:color w:val="auto"/>
          <w:highlight w:val="none"/>
        </w:rPr>
        <w:t>供应商</w:t>
      </w:r>
      <w:r>
        <w:rPr>
          <w:rFonts w:ascii="Times New Roman" w:hAnsi="Times New Roman"/>
          <w:color w:val="auto"/>
          <w:highlight w:val="none"/>
        </w:rPr>
        <w:t>踏勘项目现场。部分</w:t>
      </w:r>
      <w:r>
        <w:rPr>
          <w:rFonts w:hint="eastAsia" w:ascii="Times New Roman" w:hAnsi="Times New Roman"/>
          <w:color w:val="auto"/>
          <w:highlight w:val="none"/>
        </w:rPr>
        <w:t>供应商</w:t>
      </w:r>
      <w:r>
        <w:rPr>
          <w:rFonts w:ascii="Times New Roman" w:hAnsi="Times New Roman"/>
          <w:color w:val="auto"/>
          <w:highlight w:val="none"/>
        </w:rPr>
        <w:t>未按时参加踏勘现场的，不影响踏勘现场的正常进行。</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.2</w:t>
      </w:r>
      <w:r>
        <w:rPr>
          <w:rFonts w:hint="eastAsia" w:ascii="Times New Roman" w:hAnsi="Times New Roman"/>
          <w:color w:val="auto"/>
          <w:highlight w:val="none"/>
        </w:rPr>
        <w:t xml:space="preserve"> 供应商可自愿参加踏勘现场活动。</w:t>
      </w:r>
      <w:r>
        <w:rPr>
          <w:rFonts w:ascii="Times New Roman" w:hAnsi="Times New Roman"/>
          <w:color w:val="auto"/>
          <w:highlight w:val="none"/>
        </w:rPr>
        <w:t>除</w:t>
      </w:r>
      <w:r>
        <w:rPr>
          <w:rFonts w:hint="eastAsia" w:ascii="Times New Roman" w:hAnsi="Times New Roman"/>
          <w:color w:val="auto"/>
          <w:highlight w:val="none"/>
        </w:rPr>
        <w:t>采购</w:t>
      </w:r>
      <w:r>
        <w:rPr>
          <w:rFonts w:ascii="Times New Roman" w:hAnsi="Times New Roman"/>
          <w:color w:val="auto"/>
          <w:highlight w:val="none"/>
        </w:rPr>
        <w:t>人的原因外，</w:t>
      </w:r>
      <w:r>
        <w:rPr>
          <w:rFonts w:hint="eastAsia" w:ascii="Times New Roman" w:hAnsi="Times New Roman"/>
          <w:color w:val="auto"/>
          <w:highlight w:val="none"/>
        </w:rPr>
        <w:t>采购人对供应商参加</w:t>
      </w:r>
      <w:r>
        <w:rPr>
          <w:rFonts w:ascii="Times New Roman" w:hAnsi="Times New Roman"/>
          <w:color w:val="auto"/>
          <w:highlight w:val="none"/>
        </w:rPr>
        <w:t>踏勘现场中所发生的人员伤亡和财产损失</w:t>
      </w:r>
      <w:r>
        <w:rPr>
          <w:rFonts w:hint="eastAsia" w:ascii="Times New Roman" w:hAnsi="Times New Roman"/>
          <w:color w:val="auto"/>
          <w:highlight w:val="none"/>
        </w:rPr>
        <w:t>不承担责任</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采购</w:t>
      </w:r>
      <w:r>
        <w:rPr>
          <w:rFonts w:ascii="Times New Roman" w:hAnsi="Times New Roman"/>
          <w:color w:val="auto"/>
          <w:highlight w:val="none"/>
        </w:rPr>
        <w:t>人在踏勘现场中介绍的工程场地和相关的周边环境情况，</w:t>
      </w:r>
      <w:r>
        <w:rPr>
          <w:rFonts w:hint="eastAsia" w:ascii="Times New Roman" w:hAnsi="Times New Roman"/>
          <w:color w:val="auto"/>
          <w:highlight w:val="none"/>
        </w:rPr>
        <w:t>仅作为供应商</w:t>
      </w:r>
      <w:r>
        <w:rPr>
          <w:rFonts w:ascii="Times New Roman" w:hAnsi="Times New Roman"/>
          <w:color w:val="auto"/>
          <w:highlight w:val="none"/>
        </w:rPr>
        <w:t>编制</w:t>
      </w:r>
      <w:r>
        <w:rPr>
          <w:rFonts w:hint="eastAsia" w:ascii="Times New Roman" w:hAnsi="Times New Roman"/>
          <w:color w:val="auto"/>
          <w:highlight w:val="none"/>
        </w:rPr>
        <w:t>响应</w:t>
      </w:r>
      <w:r>
        <w:rPr>
          <w:rFonts w:ascii="Times New Roman" w:hAnsi="Times New Roman"/>
          <w:color w:val="auto"/>
          <w:highlight w:val="none"/>
        </w:rPr>
        <w:t>文件</w:t>
      </w:r>
      <w:r>
        <w:rPr>
          <w:rFonts w:hint="eastAsia" w:ascii="Times New Roman" w:hAnsi="Times New Roman"/>
          <w:color w:val="auto"/>
          <w:highlight w:val="none"/>
        </w:rPr>
        <w:t>的</w:t>
      </w:r>
      <w:r>
        <w:rPr>
          <w:rFonts w:ascii="Times New Roman" w:hAnsi="Times New Roman"/>
          <w:color w:val="auto"/>
          <w:highlight w:val="none"/>
        </w:rPr>
        <w:t>参考，</w:t>
      </w:r>
      <w:r>
        <w:rPr>
          <w:rFonts w:hint="eastAsia" w:ascii="Times New Roman" w:hAnsi="Times New Roman"/>
          <w:color w:val="auto"/>
          <w:highlight w:val="none"/>
        </w:rPr>
        <w:t>采购</w:t>
      </w:r>
      <w:r>
        <w:rPr>
          <w:rFonts w:ascii="Times New Roman" w:hAnsi="Times New Roman"/>
          <w:color w:val="auto"/>
          <w:highlight w:val="none"/>
        </w:rPr>
        <w:t>人不对</w:t>
      </w:r>
      <w:r>
        <w:rPr>
          <w:rFonts w:hint="eastAsia" w:ascii="Times New Roman" w:hAnsi="Times New Roman"/>
          <w:color w:val="auto"/>
          <w:highlight w:val="none"/>
        </w:rPr>
        <w:t>供应商</w:t>
      </w:r>
      <w:r>
        <w:rPr>
          <w:rFonts w:ascii="Times New Roman" w:hAnsi="Times New Roman"/>
          <w:color w:val="auto"/>
          <w:highlight w:val="none"/>
        </w:rPr>
        <w:t>据此作出的判断和决策负责。</w:t>
      </w:r>
    </w:p>
    <w:p>
      <w:pPr>
        <w:pStyle w:val="2"/>
        <w:spacing w:line="240" w:lineRule="auto"/>
        <w:ind w:firstLine="137"/>
        <w:rPr>
          <w:rFonts w:ascii="Times New Roman" w:hAnsi="Times New Roman"/>
          <w:color w:val="auto"/>
          <w:highlight w:val="none"/>
        </w:rPr>
      </w:pPr>
      <w:bookmarkStart w:id="83" w:name="_Toc18797"/>
      <w:r>
        <w:rPr>
          <w:rFonts w:ascii="Times New Roman" w:hAnsi="Times New Roman"/>
          <w:color w:val="auto"/>
          <w:highlight w:val="none"/>
        </w:rPr>
        <w:t>1.</w:t>
      </w:r>
      <w:r>
        <w:rPr>
          <w:rFonts w:hint="eastAsia" w:ascii="Times New Roman" w:hAnsi="Times New Roman"/>
          <w:color w:val="auto"/>
          <w:highlight w:val="none"/>
        </w:rPr>
        <w:t>8</w:t>
      </w:r>
      <w:r>
        <w:rPr>
          <w:rFonts w:ascii="Times New Roman" w:hAnsi="Times New Roman"/>
          <w:color w:val="auto"/>
          <w:highlight w:val="none"/>
        </w:rPr>
        <w:t xml:space="preserve"> </w:t>
      </w:r>
      <w:r>
        <w:rPr>
          <w:rFonts w:hint="eastAsia" w:ascii="Times New Roman" w:hAnsi="Times New Roman"/>
          <w:color w:val="auto"/>
          <w:highlight w:val="none"/>
        </w:rPr>
        <w:t>询比采购</w:t>
      </w:r>
      <w:r>
        <w:rPr>
          <w:rFonts w:ascii="Times New Roman" w:hAnsi="Times New Roman"/>
          <w:color w:val="auto"/>
          <w:highlight w:val="none"/>
        </w:rPr>
        <w:t>预备会</w:t>
      </w:r>
      <w:bookmarkEnd w:id="81"/>
      <w:bookmarkEnd w:id="82"/>
      <w:bookmarkEnd w:id="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供应商须知前附表</w:t>
      </w:r>
      <w:r>
        <w:rPr>
          <w:rFonts w:ascii="Times New Roman" w:hAnsi="Times New Roman"/>
          <w:color w:val="auto"/>
          <w:highlight w:val="none"/>
        </w:rPr>
        <w:t>规定召开</w:t>
      </w:r>
      <w:r>
        <w:rPr>
          <w:rFonts w:hint="eastAsia" w:ascii="Times New Roman" w:hAnsi="Times New Roman"/>
          <w:color w:val="auto"/>
          <w:highlight w:val="none"/>
        </w:rPr>
        <w:t>询比采购</w:t>
      </w:r>
      <w:r>
        <w:rPr>
          <w:rFonts w:ascii="Times New Roman" w:hAnsi="Times New Roman"/>
          <w:color w:val="auto"/>
          <w:highlight w:val="none"/>
        </w:rPr>
        <w:t>预备会的，</w:t>
      </w:r>
      <w:r>
        <w:rPr>
          <w:rFonts w:hint="eastAsia" w:ascii="Times New Roman" w:hAnsi="Times New Roman"/>
          <w:color w:val="auto"/>
          <w:highlight w:val="none"/>
        </w:rPr>
        <w:t>采购人</w:t>
      </w:r>
      <w:r>
        <w:rPr>
          <w:rFonts w:ascii="Times New Roman" w:hAnsi="Times New Roman"/>
          <w:color w:val="auto"/>
          <w:highlight w:val="none"/>
        </w:rPr>
        <w:t>按</w:t>
      </w:r>
      <w:r>
        <w:rPr>
          <w:rFonts w:hint="eastAsia" w:ascii="Times New Roman" w:hAnsi="Times New Roman"/>
          <w:color w:val="auto"/>
          <w:highlight w:val="none"/>
        </w:rPr>
        <w:t>供应商须知前附表</w:t>
      </w:r>
      <w:r>
        <w:rPr>
          <w:rFonts w:ascii="Times New Roman" w:hAnsi="Times New Roman"/>
          <w:color w:val="auto"/>
          <w:highlight w:val="none"/>
        </w:rPr>
        <w:t>规定的时间和地点召开</w:t>
      </w:r>
      <w:r>
        <w:rPr>
          <w:rFonts w:hint="eastAsia" w:ascii="Times New Roman" w:hAnsi="Times New Roman"/>
          <w:color w:val="auto"/>
          <w:highlight w:val="none"/>
        </w:rPr>
        <w:t>询比采购</w:t>
      </w:r>
      <w:r>
        <w:rPr>
          <w:rFonts w:ascii="Times New Roman" w:hAnsi="Times New Roman"/>
          <w:color w:val="auto"/>
          <w:highlight w:val="none"/>
        </w:rPr>
        <w:t>预备会。</w:t>
      </w:r>
    </w:p>
    <w:p>
      <w:pPr>
        <w:pStyle w:val="2"/>
        <w:spacing w:line="240" w:lineRule="auto"/>
        <w:ind w:firstLine="137"/>
        <w:rPr>
          <w:rFonts w:ascii="Times New Roman" w:hAnsi="Times New Roman"/>
          <w:color w:val="auto"/>
          <w:highlight w:val="none"/>
        </w:rPr>
      </w:pPr>
      <w:bookmarkStart w:id="84" w:name="_Toc14056"/>
      <w:r>
        <w:rPr>
          <w:rFonts w:ascii="Times New Roman" w:hAnsi="Times New Roman"/>
          <w:color w:val="auto"/>
          <w:highlight w:val="none"/>
        </w:rPr>
        <w:t>1.</w:t>
      </w:r>
      <w:r>
        <w:rPr>
          <w:rFonts w:hint="eastAsia" w:ascii="Times New Roman" w:hAnsi="Times New Roman"/>
          <w:color w:val="auto"/>
          <w:highlight w:val="none"/>
        </w:rPr>
        <w:t>9</w:t>
      </w:r>
      <w:r>
        <w:rPr>
          <w:rFonts w:ascii="Times New Roman" w:hAnsi="Times New Roman"/>
          <w:color w:val="auto"/>
          <w:highlight w:val="none"/>
        </w:rPr>
        <w:t xml:space="preserve"> </w:t>
      </w:r>
      <w:r>
        <w:rPr>
          <w:rFonts w:hint="eastAsia" w:ascii="Times New Roman" w:hAnsi="Times New Roman"/>
          <w:color w:val="auto"/>
          <w:highlight w:val="none"/>
        </w:rPr>
        <w:t>主要材料和关键部件外购</w:t>
      </w:r>
      <w:bookmarkEnd w:id="84"/>
    </w:p>
    <w:p>
      <w:pPr>
        <w:spacing w:line="400" w:lineRule="exact"/>
        <w:ind w:firstLine="420" w:firstLineChars="200"/>
        <w:rPr>
          <w:color w:val="auto"/>
          <w:highlight w:val="none"/>
        </w:rPr>
      </w:pPr>
      <w:r>
        <w:rPr>
          <w:rFonts w:hint="eastAsia" w:ascii="Times New Roman" w:hAnsi="Times New Roman"/>
          <w:color w:val="auto"/>
          <w:highlight w:val="none"/>
        </w:rPr>
        <w:t>供应商拟对主要材料和关键部件进行外购的，应符合第五章“采购需求”中提出的或允许外购的相关规定，并在响应文件中作出说明。</w:t>
      </w:r>
    </w:p>
    <w:p>
      <w:pPr>
        <w:pStyle w:val="2"/>
        <w:spacing w:line="240" w:lineRule="auto"/>
        <w:ind w:firstLine="137"/>
        <w:rPr>
          <w:rFonts w:ascii="Times New Roman" w:hAnsi="Times New Roman"/>
          <w:color w:val="auto"/>
          <w:highlight w:val="none"/>
        </w:rPr>
      </w:pPr>
      <w:bookmarkStart w:id="85" w:name="_Toc501460661"/>
      <w:bookmarkStart w:id="86" w:name="_Toc725"/>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 xml:space="preserve"> 响应和偏差</w:t>
      </w:r>
      <w:bookmarkEnd w:id="85"/>
      <w:bookmarkEnd w:id="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.1</w:t>
      </w:r>
      <w:r>
        <w:rPr>
          <w:rFonts w:hint="eastAsia" w:ascii="Times New Roman" w:hAnsi="Times New Roman"/>
          <w:color w:val="auto"/>
          <w:highlight w:val="none"/>
        </w:rPr>
        <w:t xml:space="preserve"> 采购需求和合同条款及格式中的关键条款均以“</w:t>
      </w:r>
      <w:r>
        <w:rPr>
          <w:rFonts w:ascii="Times New Roman" w:hAnsi="Times New Roman"/>
          <w:color w:val="auto"/>
          <w:highlight w:val="none"/>
        </w:rPr>
        <w:t>*</w:t>
      </w:r>
      <w:r>
        <w:rPr>
          <w:rFonts w:hint="eastAsia" w:ascii="Times New Roman" w:hAnsi="Times New Roman"/>
          <w:color w:val="auto"/>
          <w:highlight w:val="none"/>
        </w:rPr>
        <w:t>”符号标记。响应文件</w:t>
      </w:r>
      <w:r>
        <w:rPr>
          <w:rFonts w:ascii="Times New Roman" w:hAnsi="Times New Roman"/>
          <w:color w:val="auto"/>
          <w:highlight w:val="none"/>
        </w:rPr>
        <w:t>应当对</w:t>
      </w:r>
      <w:r>
        <w:rPr>
          <w:rFonts w:hint="eastAsia" w:ascii="Times New Roman" w:hAnsi="Times New Roman"/>
          <w:color w:val="auto"/>
          <w:highlight w:val="none"/>
        </w:rPr>
        <w:t>采购需求和合同条款及格式中的关键条款</w:t>
      </w:r>
      <w:r>
        <w:rPr>
          <w:rFonts w:ascii="Times New Roman" w:hAnsi="Times New Roman"/>
          <w:color w:val="auto"/>
          <w:highlight w:val="none"/>
        </w:rPr>
        <w:t>作出满足性或更有利于</w:t>
      </w:r>
      <w:r>
        <w:rPr>
          <w:rFonts w:hint="eastAsia" w:ascii="Times New Roman" w:hAnsi="Times New Roman"/>
          <w:color w:val="auto"/>
          <w:highlight w:val="none"/>
        </w:rPr>
        <w:t>采购人</w:t>
      </w:r>
      <w:r>
        <w:rPr>
          <w:rFonts w:ascii="Times New Roman" w:hAnsi="Times New Roman"/>
          <w:color w:val="auto"/>
          <w:highlight w:val="none"/>
        </w:rPr>
        <w:t>的响应，否则，</w:t>
      </w:r>
      <w:r>
        <w:rPr>
          <w:rFonts w:hint="eastAsia" w:ascii="Times New Roman" w:hAnsi="Times New Roman"/>
          <w:color w:val="auto"/>
          <w:highlight w:val="none"/>
        </w:rPr>
        <w:t>供应商</w:t>
      </w:r>
      <w:r>
        <w:rPr>
          <w:rFonts w:ascii="Times New Roman" w:hAnsi="Times New Roman"/>
          <w:color w:val="auto"/>
          <w:highlight w:val="none"/>
        </w:rPr>
        <w:t>的</w:t>
      </w:r>
      <w:r>
        <w:rPr>
          <w:rFonts w:hint="eastAsia" w:ascii="Times New Roman" w:hAnsi="Times New Roman"/>
          <w:color w:val="auto"/>
          <w:highlight w:val="none"/>
        </w:rPr>
        <w:t>响应文件将被视为无效。</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0</w:t>
      </w:r>
      <w:r>
        <w:rPr>
          <w:rFonts w:ascii="Times New Roman" w:hAnsi="Times New Roman"/>
          <w:color w:val="auto"/>
          <w:highlight w:val="none"/>
        </w:rPr>
        <w:t>.2</w:t>
      </w:r>
      <w:r>
        <w:rPr>
          <w:rFonts w:hint="eastAsia" w:ascii="Times New Roman" w:hAnsi="Times New Roman"/>
          <w:color w:val="auto"/>
          <w:highlight w:val="none"/>
        </w:rPr>
        <w:t xml:space="preserve"> 供应商须知前附表</w:t>
      </w:r>
      <w:r>
        <w:rPr>
          <w:rFonts w:ascii="Times New Roman" w:hAnsi="Times New Roman"/>
          <w:color w:val="auto"/>
          <w:highlight w:val="none"/>
        </w:rPr>
        <w:t>规定了</w:t>
      </w:r>
      <w:r>
        <w:rPr>
          <w:rFonts w:hint="eastAsia" w:ascii="Times New Roman" w:hAnsi="Times New Roman"/>
          <w:color w:val="auto"/>
          <w:highlight w:val="none"/>
        </w:rPr>
        <w:t>对非关键条款允许</w:t>
      </w:r>
      <w:r>
        <w:rPr>
          <w:rFonts w:ascii="Times New Roman" w:hAnsi="Times New Roman"/>
          <w:color w:val="auto"/>
          <w:highlight w:val="none"/>
        </w:rPr>
        <w:t>偏差的范围和可以偏差</w:t>
      </w:r>
      <w:r>
        <w:rPr>
          <w:rFonts w:hint="eastAsia" w:ascii="Times New Roman" w:hAnsi="Times New Roman"/>
          <w:color w:val="auto"/>
          <w:highlight w:val="none"/>
        </w:rPr>
        <w:t>的</w:t>
      </w:r>
      <w:r>
        <w:rPr>
          <w:rFonts w:ascii="Times New Roman" w:hAnsi="Times New Roman"/>
          <w:color w:val="auto"/>
          <w:highlight w:val="none"/>
        </w:rPr>
        <w:t>项数的</w:t>
      </w:r>
      <w:r>
        <w:rPr>
          <w:rFonts w:hint="eastAsia" w:ascii="Times New Roman" w:hAnsi="Times New Roman"/>
          <w:color w:val="auto"/>
          <w:highlight w:val="none"/>
        </w:rPr>
        <w:t>，如响应文件存在</w:t>
      </w:r>
      <w:r>
        <w:rPr>
          <w:rFonts w:ascii="Times New Roman" w:hAnsi="Times New Roman"/>
          <w:color w:val="auto"/>
          <w:highlight w:val="none"/>
        </w:rPr>
        <w:t>的偏差</w:t>
      </w:r>
      <w:r>
        <w:rPr>
          <w:rFonts w:hint="eastAsia" w:ascii="Times New Roman" w:hAnsi="Times New Roman"/>
          <w:color w:val="auto"/>
          <w:highlight w:val="none"/>
        </w:rPr>
        <w:t>超出</w:t>
      </w:r>
      <w:r>
        <w:rPr>
          <w:rFonts w:ascii="Times New Roman" w:hAnsi="Times New Roman"/>
          <w:color w:val="auto"/>
          <w:highlight w:val="none"/>
        </w:rPr>
        <w:t>上述范围</w:t>
      </w:r>
      <w:r>
        <w:rPr>
          <w:rFonts w:hint="eastAsia" w:ascii="Times New Roman" w:hAnsi="Times New Roman"/>
          <w:color w:val="auto"/>
          <w:highlight w:val="none"/>
        </w:rPr>
        <w:t>或</w:t>
      </w:r>
      <w:r>
        <w:rPr>
          <w:rFonts w:ascii="Times New Roman" w:hAnsi="Times New Roman"/>
          <w:color w:val="auto"/>
          <w:highlight w:val="none"/>
        </w:rPr>
        <w:t>项数</w:t>
      </w:r>
      <w:r>
        <w:rPr>
          <w:rFonts w:hint="eastAsia" w:ascii="Times New Roman" w:hAnsi="Times New Roman"/>
          <w:color w:val="auto"/>
          <w:highlight w:val="none"/>
        </w:rPr>
        <w:t>，将被视为无效</w:t>
      </w:r>
      <w:r>
        <w:rPr>
          <w:rFonts w:ascii="Times New Roman" w:hAnsi="Times New Roman"/>
          <w:color w:val="auto"/>
          <w:highlight w:val="none"/>
        </w:rPr>
        <w:t>。</w:t>
      </w:r>
    </w:p>
    <w:p>
      <w:pPr>
        <w:pStyle w:val="4"/>
        <w:rPr>
          <w:rFonts w:ascii="Times New Roman" w:hAnsi="Times New Roman"/>
          <w:color w:val="auto"/>
          <w:highlight w:val="none"/>
        </w:rPr>
      </w:pPr>
      <w:bookmarkStart w:id="87" w:name="_Toc501460662"/>
      <w:bookmarkStart w:id="88" w:name="_Toc992"/>
      <w:r>
        <w:rPr>
          <w:rFonts w:ascii="Times New Roman" w:hAnsi="Times New Roman"/>
          <w:color w:val="auto"/>
          <w:highlight w:val="none"/>
        </w:rPr>
        <w:t xml:space="preserve">2. </w:t>
      </w:r>
      <w:bookmarkEnd w:id="87"/>
      <w:r>
        <w:rPr>
          <w:rFonts w:hint="eastAsia" w:ascii="Times New Roman" w:hAnsi="Times New Roman"/>
          <w:color w:val="auto"/>
          <w:highlight w:val="none"/>
        </w:rPr>
        <w:t>采购文件</w:t>
      </w:r>
      <w:bookmarkEnd w:id="88"/>
    </w:p>
    <w:p>
      <w:pPr>
        <w:pStyle w:val="2"/>
        <w:spacing w:line="240" w:lineRule="auto"/>
        <w:ind w:firstLine="137"/>
        <w:rPr>
          <w:rFonts w:ascii="Times New Roman" w:hAnsi="Times New Roman"/>
          <w:color w:val="auto"/>
          <w:highlight w:val="none"/>
        </w:rPr>
      </w:pPr>
      <w:bookmarkStart w:id="89" w:name="_Toc11388"/>
      <w:bookmarkStart w:id="90" w:name="_Toc501460663"/>
      <w:r>
        <w:rPr>
          <w:rFonts w:ascii="Times New Roman" w:hAnsi="Times New Roman"/>
          <w:color w:val="auto"/>
          <w:highlight w:val="none"/>
        </w:rPr>
        <w:t>2.1</w:t>
      </w:r>
      <w:r>
        <w:rPr>
          <w:rFonts w:hint="eastAsia" w:ascii="Times New Roman" w:hAnsi="Times New Roman"/>
          <w:color w:val="auto"/>
          <w:highlight w:val="none"/>
        </w:rPr>
        <w:t xml:space="preserve"> 采购文件</w:t>
      </w:r>
      <w:r>
        <w:rPr>
          <w:rFonts w:ascii="Times New Roman" w:hAnsi="Times New Roman"/>
          <w:color w:val="auto"/>
          <w:highlight w:val="none"/>
        </w:rPr>
        <w:t>的组成</w:t>
      </w:r>
      <w:bookmarkEnd w:id="89"/>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本</w:t>
      </w:r>
      <w:r>
        <w:rPr>
          <w:rFonts w:hint="eastAsia" w:ascii="Times New Roman" w:hAnsi="Times New Roman"/>
          <w:color w:val="auto"/>
          <w:highlight w:val="none"/>
        </w:rPr>
        <w:t>采购文件</w:t>
      </w:r>
      <w:r>
        <w:rPr>
          <w:rFonts w:ascii="Times New Roman" w:hAnsi="Times New Roman"/>
          <w:color w:val="auto"/>
          <w:highlight w:val="none"/>
        </w:rPr>
        <w:t>包括：</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询比采购公告</w:t>
      </w:r>
      <w:r>
        <w:rPr>
          <w:rFonts w:ascii="Times New Roman" w:hAnsi="Times New Roman"/>
          <w:color w:val="auto"/>
          <w:highlight w:val="none"/>
        </w:rPr>
        <w:t>（或</w:t>
      </w:r>
      <w:r>
        <w:rPr>
          <w:rFonts w:hint="eastAsia" w:ascii="Times New Roman" w:hAnsi="Times New Roman"/>
          <w:color w:val="auto"/>
          <w:highlight w:val="none"/>
        </w:rPr>
        <w:t>询比采购邀请书</w:t>
      </w:r>
      <w:r>
        <w:rPr>
          <w:rFonts w:ascii="Times New Roman" w:hAnsi="Times New Roman"/>
          <w:color w:val="auto"/>
          <w:highlight w:val="none"/>
        </w:rPr>
        <w:t>）；</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供应商</w:t>
      </w:r>
      <w:r>
        <w:rPr>
          <w:rFonts w:ascii="Times New Roman" w:hAnsi="Times New Roman"/>
          <w:color w:val="auto"/>
          <w:highlight w:val="none"/>
        </w:rPr>
        <w:t>须知；</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评审</w:t>
      </w:r>
      <w:r>
        <w:rPr>
          <w:rFonts w:ascii="Times New Roman" w:hAnsi="Times New Roman"/>
          <w:color w:val="auto"/>
          <w:highlight w:val="none"/>
        </w:rPr>
        <w:t>办法；</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采购需求；</w:t>
      </w:r>
    </w:p>
    <w:p>
      <w:pPr>
        <w:spacing w:line="400" w:lineRule="exact"/>
        <w:ind w:firstLine="359" w:firstLineChars="171"/>
        <w:rPr>
          <w:rFonts w:ascii="Times New Roman" w:hAnsi="Times New Roman"/>
          <w:color w:val="auto"/>
          <w:highlight w:val="none"/>
        </w:rPr>
      </w:pPr>
      <w:r>
        <w:rPr>
          <w:rFonts w:hint="eastAsia" w:ascii="Times New Roman" w:hAnsi="Times New Roman"/>
          <w:color w:val="auto"/>
          <w:highlight w:val="none"/>
        </w:rPr>
        <w:t>（6）响应文件</w:t>
      </w:r>
      <w:r>
        <w:rPr>
          <w:rFonts w:ascii="Times New Roman" w:hAnsi="Times New Roman"/>
          <w:color w:val="auto"/>
          <w:highlight w:val="none"/>
        </w:rPr>
        <w:t>格式；</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采购人依照本章规定，对采购文件所做</w:t>
      </w:r>
      <w:r>
        <w:rPr>
          <w:rFonts w:ascii="Times New Roman" w:hAnsi="Times New Roman"/>
          <w:color w:val="auto"/>
          <w:highlight w:val="none"/>
        </w:rPr>
        <w:t>的澄清、修改，构成</w:t>
      </w:r>
      <w:r>
        <w:rPr>
          <w:rFonts w:hint="eastAsia" w:ascii="Times New Roman" w:hAnsi="Times New Roman"/>
          <w:color w:val="auto"/>
          <w:highlight w:val="none"/>
        </w:rPr>
        <w:t>采购文件</w:t>
      </w:r>
      <w:r>
        <w:rPr>
          <w:rFonts w:ascii="Times New Roman" w:hAnsi="Times New Roman"/>
          <w:color w:val="auto"/>
          <w:highlight w:val="none"/>
        </w:rPr>
        <w:t>的组成部分。</w:t>
      </w:r>
    </w:p>
    <w:bookmarkEnd w:id="90"/>
    <w:p>
      <w:pPr>
        <w:pStyle w:val="2"/>
        <w:spacing w:line="240" w:lineRule="auto"/>
        <w:ind w:firstLine="137"/>
        <w:rPr>
          <w:rFonts w:ascii="Times New Roman" w:hAnsi="Times New Roman"/>
          <w:color w:val="auto"/>
          <w:highlight w:val="none"/>
        </w:rPr>
      </w:pPr>
      <w:bookmarkStart w:id="91" w:name="_Toc485303289"/>
      <w:bookmarkStart w:id="92" w:name="_Toc501460664"/>
      <w:bookmarkStart w:id="93" w:name="_Toc24799"/>
      <w:bookmarkStart w:id="94" w:name="_Toc16623"/>
      <w:bookmarkStart w:id="95" w:name="_Toc300834960"/>
      <w:bookmarkStart w:id="96" w:name="_Toc144974508"/>
      <w:bookmarkStart w:id="97" w:name="_Toc247513963"/>
      <w:bookmarkStart w:id="98" w:name="_Toc152042316"/>
      <w:bookmarkStart w:id="99" w:name="_Toc361508595"/>
      <w:bookmarkStart w:id="100" w:name="_Toc369531526"/>
      <w:bookmarkStart w:id="101" w:name="_Toc152045540"/>
      <w:bookmarkStart w:id="102" w:name="_Toc247527564"/>
      <w:bookmarkStart w:id="103" w:name="_Toc384308220"/>
      <w:bookmarkStart w:id="104" w:name="_Toc352691484"/>
      <w:r>
        <w:rPr>
          <w:rFonts w:ascii="Times New Roman" w:hAnsi="Times New Roman"/>
          <w:color w:val="auto"/>
          <w:highlight w:val="none"/>
        </w:rPr>
        <w:t xml:space="preserve">2.2 </w:t>
      </w:r>
      <w:r>
        <w:rPr>
          <w:rFonts w:hint="eastAsia" w:ascii="Times New Roman" w:hAnsi="Times New Roman"/>
          <w:color w:val="auto"/>
          <w:highlight w:val="none"/>
        </w:rPr>
        <w:t>采购文件</w:t>
      </w:r>
      <w:r>
        <w:rPr>
          <w:rFonts w:ascii="Times New Roman" w:hAnsi="Times New Roman"/>
          <w:color w:val="auto"/>
          <w:highlight w:val="none"/>
        </w:rPr>
        <w:t>的澄清</w:t>
      </w:r>
      <w:bookmarkEnd w:id="91"/>
      <w:bookmarkEnd w:id="92"/>
      <w:r>
        <w:rPr>
          <w:rFonts w:hint="eastAsia" w:ascii="Times New Roman" w:hAnsi="Times New Roman"/>
          <w:color w:val="auto"/>
          <w:highlight w:val="none"/>
        </w:rPr>
        <w:t>和修改</w:t>
      </w:r>
      <w:bookmarkEnd w:id="93"/>
    </w:p>
    <w:p>
      <w:pPr>
        <w:spacing w:line="400" w:lineRule="exact"/>
        <w:ind w:firstLine="420" w:firstLineChars="200"/>
        <w:rPr>
          <w:rFonts w:ascii="Times New Roman" w:hAnsi="Times New Roman"/>
          <w:color w:val="auto"/>
          <w:highlight w:val="none"/>
        </w:rPr>
      </w:pPr>
      <w:bookmarkStart w:id="105" w:name="_Toc352691479"/>
      <w:bookmarkStart w:id="106" w:name="_Toc485303290"/>
      <w:r>
        <w:rPr>
          <w:rFonts w:ascii="Times New Roman" w:hAnsi="Times New Roman"/>
          <w:color w:val="auto"/>
          <w:highlight w:val="none"/>
        </w:rPr>
        <w:t xml:space="preserve">2.2.1 </w:t>
      </w:r>
      <w:r>
        <w:rPr>
          <w:rFonts w:hint="eastAsia" w:ascii="Times New Roman" w:hAnsi="Times New Roman"/>
          <w:color w:val="auto"/>
          <w:highlight w:val="none"/>
        </w:rPr>
        <w:t>供应商</w:t>
      </w:r>
      <w:r>
        <w:rPr>
          <w:rFonts w:ascii="Times New Roman" w:hAnsi="Times New Roman"/>
          <w:color w:val="auto"/>
          <w:highlight w:val="none"/>
        </w:rPr>
        <w:t>应仔细阅读和检查</w:t>
      </w:r>
      <w:r>
        <w:rPr>
          <w:rFonts w:hint="eastAsia" w:ascii="Times New Roman" w:hAnsi="Times New Roman"/>
          <w:color w:val="auto"/>
          <w:highlight w:val="none"/>
        </w:rPr>
        <w:t>采购文件</w:t>
      </w:r>
      <w:r>
        <w:rPr>
          <w:rFonts w:ascii="Times New Roman" w:hAnsi="Times New Roman"/>
          <w:color w:val="auto"/>
          <w:highlight w:val="none"/>
        </w:rPr>
        <w:t>的全部内容。如发现缺页或附件不全，应及时向</w:t>
      </w:r>
      <w:r>
        <w:rPr>
          <w:rFonts w:hint="eastAsia" w:ascii="Times New Roman" w:hAnsi="Times New Roman"/>
          <w:color w:val="auto"/>
          <w:highlight w:val="none"/>
        </w:rPr>
        <w:t>采购人</w:t>
      </w:r>
      <w:r>
        <w:rPr>
          <w:rFonts w:ascii="Times New Roman" w:hAnsi="Times New Roman"/>
          <w:color w:val="auto"/>
          <w:highlight w:val="none"/>
        </w:rPr>
        <w:t>提出，以便补齐。如有疑问，应</w:t>
      </w:r>
      <w:r>
        <w:rPr>
          <w:rFonts w:hint="eastAsia" w:ascii="Times New Roman" w:hAnsi="Times New Roman"/>
          <w:color w:val="auto"/>
          <w:highlight w:val="none"/>
        </w:rPr>
        <w:t>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w:t>
      </w:r>
      <w:r>
        <w:rPr>
          <w:rFonts w:hint="eastAsia" w:ascii="Times New Roman" w:hAnsi="Times New Roman"/>
          <w:color w:val="auto"/>
          <w:highlight w:val="none"/>
        </w:rPr>
        <w:t>内</w:t>
      </w:r>
      <w:r>
        <w:rPr>
          <w:rFonts w:ascii="Times New Roman" w:hAnsi="Times New Roman"/>
          <w:color w:val="auto"/>
          <w:highlight w:val="none"/>
        </w:rPr>
        <w:t>，</w:t>
      </w:r>
      <w:r>
        <w:rPr>
          <w:rFonts w:hint="eastAsia" w:ascii="Times New Roman" w:hAnsi="Times New Roman"/>
          <w:color w:val="auto"/>
          <w:highlight w:val="none"/>
        </w:rPr>
        <w:t>以书面形式</w:t>
      </w:r>
      <w:r>
        <w:rPr>
          <w:rFonts w:ascii="Times New Roman" w:hAnsi="Times New Roman"/>
          <w:color w:val="auto"/>
          <w:highlight w:val="none"/>
        </w:rPr>
        <w:t>要求</w:t>
      </w:r>
      <w:r>
        <w:rPr>
          <w:rFonts w:hint="eastAsia" w:ascii="Times New Roman" w:hAnsi="Times New Roman"/>
          <w:color w:val="auto"/>
          <w:highlight w:val="none"/>
        </w:rPr>
        <w:t>采购人</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予以澄清。</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采购人可根据供应商的要求或主动对采购文件进行澄清或修改。澄清或修改</w:t>
      </w:r>
      <w:r>
        <w:rPr>
          <w:rFonts w:ascii="Times New Roman" w:hAnsi="Times New Roman"/>
          <w:color w:val="auto"/>
          <w:highlight w:val="none"/>
        </w:rPr>
        <w:t>的</w:t>
      </w:r>
      <w:r>
        <w:rPr>
          <w:rFonts w:hint="eastAsia" w:ascii="Times New Roman" w:hAnsi="Times New Roman"/>
          <w:color w:val="auto"/>
          <w:highlight w:val="none"/>
        </w:rPr>
        <w:t>内容以补充文件的形式</w:t>
      </w:r>
      <w:r>
        <w:rPr>
          <w:rFonts w:ascii="Times New Roman" w:hAnsi="Times New Roman"/>
          <w:color w:val="auto"/>
          <w:highlight w:val="none"/>
        </w:rPr>
        <w:t>发给所有</w:t>
      </w:r>
      <w:r>
        <w:rPr>
          <w:rFonts w:hint="eastAsia" w:ascii="Times New Roman" w:hAnsi="Times New Roman"/>
          <w:color w:val="auto"/>
          <w:highlight w:val="none"/>
        </w:rPr>
        <w:t>获取采购文件</w:t>
      </w:r>
      <w:r>
        <w:rPr>
          <w:rFonts w:ascii="Times New Roman" w:hAnsi="Times New Roman"/>
          <w:color w:val="auto"/>
          <w:highlight w:val="none"/>
        </w:rPr>
        <w:t>的</w:t>
      </w:r>
      <w:r>
        <w:rPr>
          <w:rFonts w:hint="eastAsia" w:ascii="Times New Roman" w:hAnsi="Times New Roman"/>
          <w:color w:val="auto"/>
          <w:highlight w:val="none"/>
        </w:rPr>
        <w:t>供应商</w:t>
      </w:r>
      <w:r>
        <w:rPr>
          <w:rFonts w:ascii="Times New Roman" w:hAnsi="Times New Roman"/>
          <w:color w:val="auto"/>
          <w:highlight w:val="none"/>
        </w:rPr>
        <w:t>。</w:t>
      </w:r>
      <w:r>
        <w:rPr>
          <w:rFonts w:hint="eastAsia" w:ascii="Times New Roman" w:hAnsi="Times New Roman"/>
          <w:color w:val="auto"/>
          <w:highlight w:val="none"/>
        </w:rPr>
        <w:t>采购人可视具体情况在补充文件中通知供应商推迟递交响应文件</w:t>
      </w:r>
      <w:r>
        <w:rPr>
          <w:rFonts w:ascii="Times New Roman" w:hAnsi="Times New Roman"/>
          <w:color w:val="auto"/>
          <w:highlight w:val="none"/>
        </w:rPr>
        <w:t>的截止时间。</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供应商</w:t>
      </w:r>
      <w:r>
        <w:rPr>
          <w:rFonts w:ascii="Times New Roman" w:hAnsi="Times New Roman"/>
          <w:color w:val="auto"/>
          <w:highlight w:val="none"/>
        </w:rPr>
        <w:t>在收到</w:t>
      </w:r>
      <w:r>
        <w:rPr>
          <w:rFonts w:hint="eastAsia" w:ascii="Times New Roman" w:hAnsi="Times New Roman"/>
          <w:color w:val="auto"/>
          <w:highlight w:val="none"/>
        </w:rPr>
        <w:t>补充文件</w:t>
      </w:r>
      <w:r>
        <w:rPr>
          <w:rFonts w:ascii="Times New Roman" w:hAnsi="Times New Roman"/>
          <w:color w:val="auto"/>
          <w:highlight w:val="none"/>
        </w:rPr>
        <w:t>后，应按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规定的时间和</w:t>
      </w:r>
      <w:r>
        <w:rPr>
          <w:rFonts w:hint="eastAsia" w:ascii="Times New Roman" w:hAnsi="Times New Roman"/>
          <w:color w:val="auto"/>
          <w:highlight w:val="none"/>
        </w:rPr>
        <w:t>方式</w:t>
      </w:r>
      <w:r>
        <w:rPr>
          <w:rFonts w:ascii="Times New Roman" w:hAnsi="Times New Roman"/>
          <w:color w:val="auto"/>
          <w:highlight w:val="none"/>
        </w:rPr>
        <w:t>通知</w:t>
      </w:r>
      <w:r>
        <w:rPr>
          <w:rFonts w:hint="eastAsia" w:ascii="Times New Roman" w:hAnsi="Times New Roman"/>
          <w:color w:val="auto"/>
          <w:highlight w:val="none"/>
        </w:rPr>
        <w:t>采购人</w:t>
      </w:r>
      <w:r>
        <w:rPr>
          <w:rFonts w:ascii="Times New Roman" w:hAnsi="Times New Roman"/>
          <w:color w:val="auto"/>
          <w:highlight w:val="none"/>
        </w:rPr>
        <w:t>，确认已收到该</w:t>
      </w:r>
      <w:r>
        <w:rPr>
          <w:rFonts w:hint="eastAsia" w:ascii="Times New Roman" w:hAnsi="Times New Roman"/>
          <w:color w:val="auto"/>
          <w:highlight w:val="none"/>
        </w:rPr>
        <w:t>补充文件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2.2.4 除非确有必要，</w:t>
      </w:r>
      <w:r>
        <w:rPr>
          <w:rFonts w:hint="eastAsia" w:ascii="Times New Roman" w:hAnsi="Times New Roman"/>
          <w:color w:val="auto"/>
          <w:highlight w:val="none"/>
        </w:rPr>
        <w:t>采购人</w:t>
      </w:r>
      <w:r>
        <w:rPr>
          <w:rFonts w:ascii="Times New Roman" w:hAnsi="Times New Roman"/>
          <w:color w:val="auto"/>
          <w:highlight w:val="none"/>
        </w:rPr>
        <w:t>有权拒绝回复</w:t>
      </w: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本章第2.2.1项</w:t>
      </w:r>
      <w:r>
        <w:rPr>
          <w:rFonts w:ascii="Times New Roman" w:hAnsi="Times New Roman"/>
          <w:color w:val="auto"/>
          <w:highlight w:val="none"/>
        </w:rPr>
        <w:t>规定的时间后</w:t>
      </w:r>
      <w:r>
        <w:rPr>
          <w:rFonts w:hint="eastAsia" w:ascii="Times New Roman" w:hAnsi="Times New Roman"/>
          <w:color w:val="auto"/>
          <w:highlight w:val="none"/>
        </w:rPr>
        <w:t>提出</w:t>
      </w:r>
      <w:r>
        <w:rPr>
          <w:rFonts w:ascii="Times New Roman" w:hAnsi="Times New Roman"/>
          <w:color w:val="auto"/>
          <w:highlight w:val="none"/>
        </w:rPr>
        <w:t>的任何澄清要求。</w:t>
      </w:r>
    </w:p>
    <w:bookmarkEnd w:id="94"/>
    <w:bookmarkEnd w:id="95"/>
    <w:bookmarkEnd w:id="96"/>
    <w:bookmarkEnd w:id="97"/>
    <w:bookmarkEnd w:id="98"/>
    <w:bookmarkEnd w:id="99"/>
    <w:bookmarkEnd w:id="100"/>
    <w:bookmarkEnd w:id="101"/>
    <w:bookmarkEnd w:id="102"/>
    <w:bookmarkEnd w:id="103"/>
    <w:bookmarkEnd w:id="104"/>
    <w:bookmarkEnd w:id="105"/>
    <w:bookmarkEnd w:id="106"/>
    <w:p>
      <w:pPr>
        <w:pStyle w:val="4"/>
        <w:rPr>
          <w:rFonts w:ascii="Times New Roman" w:hAnsi="Times New Roman"/>
          <w:color w:val="auto"/>
          <w:highlight w:val="none"/>
        </w:rPr>
      </w:pPr>
      <w:bookmarkStart w:id="107" w:name="_Toc501460667"/>
      <w:bookmarkStart w:id="108" w:name="_Toc25792"/>
      <w:r>
        <w:rPr>
          <w:rFonts w:ascii="Times New Roman" w:hAnsi="Times New Roman"/>
          <w:color w:val="auto"/>
          <w:highlight w:val="none"/>
        </w:rPr>
        <w:t xml:space="preserve">3. </w:t>
      </w:r>
      <w:bookmarkEnd w:id="107"/>
      <w:r>
        <w:rPr>
          <w:rFonts w:hint="eastAsia" w:ascii="Times New Roman" w:hAnsi="Times New Roman"/>
          <w:color w:val="auto"/>
          <w:highlight w:val="none"/>
        </w:rPr>
        <w:t>响应文件</w:t>
      </w:r>
      <w:bookmarkEnd w:id="108"/>
    </w:p>
    <w:p>
      <w:pPr>
        <w:pStyle w:val="2"/>
        <w:spacing w:line="240" w:lineRule="auto"/>
        <w:ind w:firstLine="137"/>
        <w:rPr>
          <w:rFonts w:ascii="Times New Roman" w:hAnsi="Times New Roman"/>
          <w:color w:val="auto"/>
          <w:highlight w:val="none"/>
        </w:rPr>
      </w:pPr>
      <w:bookmarkStart w:id="109" w:name="_Toc13039"/>
      <w:bookmarkStart w:id="110" w:name="_Toc501460668"/>
      <w:r>
        <w:rPr>
          <w:rFonts w:ascii="Times New Roman" w:hAnsi="Times New Roman"/>
          <w:color w:val="auto"/>
          <w:highlight w:val="none"/>
        </w:rPr>
        <w:t xml:space="preserve">3.1 </w:t>
      </w:r>
      <w:r>
        <w:rPr>
          <w:rFonts w:hint="eastAsia" w:ascii="Times New Roman" w:hAnsi="Times New Roman"/>
          <w:color w:val="auto"/>
          <w:highlight w:val="none"/>
        </w:rPr>
        <w:t>响应文件</w:t>
      </w:r>
      <w:r>
        <w:rPr>
          <w:rFonts w:ascii="Times New Roman" w:hAnsi="Times New Roman"/>
          <w:color w:val="auto"/>
          <w:highlight w:val="none"/>
        </w:rPr>
        <w:t>的组成</w:t>
      </w:r>
      <w:bookmarkEnd w:id="109"/>
      <w:bookmarkEnd w:id="1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响应文件</w:t>
      </w:r>
      <w:r>
        <w:rPr>
          <w:rFonts w:ascii="Times New Roman" w:hAnsi="Times New Roman"/>
          <w:color w:val="auto"/>
          <w:highlight w:val="none"/>
        </w:rPr>
        <w:t>应包括下列内容：</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（3）联合体协议书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响应保证金（如有）</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（5）商务和技术</w:t>
      </w:r>
      <w:r>
        <w:rPr>
          <w:rFonts w:hint="eastAsia" w:ascii="Times New Roman" w:hAnsi="Times New Roman"/>
          <w:color w:val="auto"/>
          <w:highlight w:val="none"/>
        </w:rPr>
        <w:t>偏差表；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（6）报价表；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资格审查资料</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（9）</w:t>
      </w:r>
      <w:r>
        <w:rPr>
          <w:rFonts w:hint="eastAsia" w:ascii="黑体" w:hAnsi="黑体" w:eastAsia="黑体" w:cs="黑体"/>
          <w:iCs/>
          <w:color w:val="auto"/>
          <w:highlight w:val="none"/>
        </w:rPr>
        <w:t>供应商须知前附表</w:t>
      </w:r>
      <w:r>
        <w:rPr>
          <w:rFonts w:ascii="Times New Roman" w:hAnsi="Times New Roman"/>
          <w:color w:val="auto"/>
          <w:highlight w:val="none"/>
        </w:rPr>
        <w:t>规定的其他资料。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在</w:t>
      </w:r>
      <w:r>
        <w:rPr>
          <w:rFonts w:hint="eastAsia" w:ascii="Times New Roman" w:hAnsi="Times New Roman"/>
          <w:color w:val="auto"/>
          <w:highlight w:val="none"/>
        </w:rPr>
        <w:t>评审</w:t>
      </w:r>
      <w:r>
        <w:rPr>
          <w:rFonts w:ascii="Times New Roman" w:hAnsi="Times New Roman"/>
          <w:color w:val="auto"/>
          <w:highlight w:val="none"/>
        </w:rPr>
        <w:t>过程中作出的</w:t>
      </w:r>
      <w:r>
        <w:rPr>
          <w:rFonts w:hint="eastAsia" w:ascii="Times New Roman" w:hAnsi="Times New Roman"/>
          <w:color w:val="auto"/>
          <w:highlight w:val="none"/>
        </w:rPr>
        <w:t>符合采购文件要求的澄清、说明和补正</w:t>
      </w:r>
      <w:r>
        <w:rPr>
          <w:rFonts w:ascii="Times New Roman" w:hAnsi="Times New Roman"/>
          <w:color w:val="auto"/>
          <w:highlight w:val="none"/>
        </w:rPr>
        <w:t>，构成</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359" w:firstLineChars="171"/>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供应商的法定代表人（单位负责人）亲自签署响应文件、亲自参加询比的，响应文件</w:t>
      </w:r>
      <w:r>
        <w:rPr>
          <w:rFonts w:ascii="Times New Roman" w:hAnsi="Times New Roman"/>
          <w:color w:val="auto"/>
          <w:highlight w:val="none"/>
        </w:rPr>
        <w:t>不包括第3.1.1（</w:t>
      </w:r>
      <w:r>
        <w:rPr>
          <w:rFonts w:hint="eastAsia" w:ascii="Times New Roman" w:hAnsi="Times New Roman"/>
          <w:color w:val="auto"/>
          <w:highlight w:val="none"/>
        </w:rPr>
        <w:t>2</w:t>
      </w:r>
      <w:r>
        <w:rPr>
          <w:rFonts w:ascii="Times New Roman" w:hAnsi="Times New Roman"/>
          <w:color w:val="auto"/>
          <w:highlight w:val="none"/>
        </w:rPr>
        <w:t>）目所指的授权委托书</w:t>
      </w:r>
      <w:r>
        <w:rPr>
          <w:rFonts w:hint="eastAsia" w:ascii="Times New Roman" w:hAnsi="Times New Roman"/>
          <w:color w:val="auto"/>
          <w:highlight w:val="none"/>
        </w:rPr>
        <w:t>；第一章“询比采购公告/询比采购邀请书”规定不接受联合体的</w:t>
      </w:r>
      <w:r>
        <w:rPr>
          <w:rFonts w:ascii="Times New Roman" w:hAnsi="Times New Roman"/>
          <w:color w:val="auto"/>
          <w:highlight w:val="none"/>
        </w:rPr>
        <w:t>，或</w:t>
      </w:r>
      <w:r>
        <w:rPr>
          <w:rFonts w:hint="eastAsia" w:ascii="Times New Roman" w:hAnsi="Times New Roman"/>
          <w:color w:val="auto"/>
          <w:highlight w:val="none"/>
        </w:rPr>
        <w:t>供应商</w:t>
      </w:r>
      <w:r>
        <w:rPr>
          <w:rFonts w:ascii="Times New Roman" w:hAnsi="Times New Roman"/>
          <w:color w:val="auto"/>
          <w:highlight w:val="none"/>
        </w:rPr>
        <w:t>没有组成联合体的，</w:t>
      </w:r>
      <w:r>
        <w:rPr>
          <w:rFonts w:hint="eastAsia" w:ascii="Times New Roman" w:hAnsi="Times New Roman"/>
          <w:color w:val="auto"/>
          <w:highlight w:val="none"/>
        </w:rPr>
        <w:t>响应文件</w:t>
      </w:r>
      <w:r>
        <w:rPr>
          <w:rFonts w:ascii="Times New Roman" w:hAnsi="Times New Roman"/>
          <w:color w:val="auto"/>
          <w:highlight w:val="none"/>
        </w:rPr>
        <w:t>不包括第3.1.1（3）目所指的联合体协议书。</w:t>
      </w:r>
      <w:r>
        <w:rPr>
          <w:rFonts w:hint="eastAsia" w:ascii="Times New Roman" w:hAnsi="Times New Roman"/>
          <w:color w:val="auto"/>
          <w:highlight w:val="none"/>
        </w:rPr>
        <w:t>供应商</w:t>
      </w:r>
      <w:r>
        <w:rPr>
          <w:rFonts w:ascii="Times New Roman" w:hAnsi="Times New Roman"/>
          <w:color w:val="auto"/>
          <w:highlight w:val="none"/>
        </w:rPr>
        <w:t>须知前附表未要求</w:t>
      </w:r>
      <w:r>
        <w:rPr>
          <w:rFonts w:hint="eastAsia" w:ascii="Times New Roman" w:hAnsi="Times New Roman"/>
          <w:color w:val="auto"/>
          <w:highlight w:val="none"/>
        </w:rPr>
        <w:t>供应商递交响应保证金</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不包括第3.1.1（4）目所指的</w:t>
      </w:r>
      <w:r>
        <w:rPr>
          <w:rFonts w:hint="eastAsia" w:ascii="Times New Roman" w:hAnsi="Times New Roman"/>
          <w:color w:val="auto"/>
          <w:highlight w:val="none"/>
        </w:rPr>
        <w:t>响应保证金</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11" w:name="_Toc501460669"/>
      <w:bookmarkStart w:id="112" w:name="_Toc17438"/>
      <w:r>
        <w:rPr>
          <w:rFonts w:ascii="Times New Roman" w:hAnsi="Times New Roman"/>
          <w:color w:val="auto"/>
          <w:highlight w:val="none"/>
        </w:rPr>
        <w:t>3.2 报价</w:t>
      </w:r>
      <w:bookmarkEnd w:id="111"/>
      <w:bookmarkEnd w:id="11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3.2.1</w:t>
      </w:r>
      <w:r>
        <w:rPr>
          <w:rFonts w:hint="eastAsia" w:ascii="Times New Roman" w:hAnsi="Times New Roman"/>
          <w:color w:val="auto"/>
          <w:highlight w:val="none"/>
        </w:rPr>
        <w:t xml:space="preserve"> 供应商应按采购文件提供的格式（见第六章“响应文件格式”）在响应函和报价表中进行</w:t>
      </w:r>
      <w:r>
        <w:rPr>
          <w:rFonts w:ascii="Times New Roman" w:hAnsi="Times New Roman"/>
          <w:color w:val="auto"/>
          <w:highlight w:val="none"/>
        </w:rPr>
        <w:t>报价</w:t>
      </w:r>
      <w:r>
        <w:rPr>
          <w:rFonts w:hint="eastAsia" w:ascii="Times New Roman" w:hAnsi="Times New Roman"/>
          <w:color w:val="auto"/>
          <w:highlight w:val="none"/>
        </w:rPr>
        <w:t>。响应函中</w:t>
      </w:r>
      <w:r>
        <w:rPr>
          <w:rFonts w:ascii="Times New Roman" w:hAnsi="Times New Roman"/>
          <w:color w:val="auto"/>
          <w:highlight w:val="none"/>
        </w:rPr>
        <w:t>报价应</w:t>
      </w:r>
      <w:r>
        <w:rPr>
          <w:rFonts w:hint="eastAsia" w:ascii="Times New Roman" w:hAnsi="Times New Roman"/>
          <w:color w:val="auto"/>
          <w:highlight w:val="none"/>
        </w:rPr>
        <w:t>为包含</w:t>
      </w:r>
      <w:r>
        <w:rPr>
          <w:rFonts w:ascii="Times New Roman" w:hAnsi="Times New Roman"/>
          <w:color w:val="auto"/>
          <w:highlight w:val="none"/>
        </w:rPr>
        <w:t>国家规定的增值税</w:t>
      </w:r>
      <w:r>
        <w:rPr>
          <w:rFonts w:hint="eastAsia" w:ascii="Times New Roman" w:hAnsi="Times New Roman"/>
          <w:color w:val="auto"/>
          <w:highlight w:val="none"/>
        </w:rPr>
        <w:t>在内的含税价格，同时应列明不含税价格和增值税税额。采购人将根据项目情况，在第三章“评审办法”第2.2.2项中选择按照含税价格或不含税价格对供应商进行价格评审。</w:t>
      </w:r>
    </w:p>
    <w:p>
      <w:pPr>
        <w:spacing w:line="400" w:lineRule="exact"/>
        <w:ind w:firstLine="420" w:firstLineChars="200"/>
        <w:rPr>
          <w:rFonts w:ascii="宋体" w:hAnsi="宋体"/>
          <w:color w:val="auto"/>
          <w:szCs w:val="21"/>
          <w:highlight w:val="none"/>
        </w:rPr>
      </w:pPr>
      <w:r>
        <w:rPr>
          <w:rFonts w:ascii="Times New Roman" w:hAnsi="Times New Roman"/>
          <w:color w:val="auto"/>
          <w:highlight w:val="none"/>
        </w:rPr>
        <w:t>3.2.2</w:t>
      </w:r>
      <w:r>
        <w:rPr>
          <w:rFonts w:hint="eastAsia" w:ascii="Times New Roman" w:hAnsi="Times New Roman"/>
          <w:color w:val="auto"/>
          <w:highlight w:val="none"/>
        </w:rPr>
        <w:t xml:space="preserve"> 供应商</w:t>
      </w:r>
      <w:r>
        <w:rPr>
          <w:rFonts w:ascii="Times New Roman" w:hAnsi="Times New Roman"/>
          <w:color w:val="auto"/>
          <w:highlight w:val="none"/>
        </w:rPr>
        <w:t>应充分了解</w:t>
      </w:r>
      <w:r>
        <w:rPr>
          <w:rFonts w:hint="eastAsia" w:ascii="Times New Roman" w:hAnsi="Times New Roman"/>
          <w:color w:val="auto"/>
          <w:highlight w:val="none"/>
        </w:rPr>
        <w:t>采购</w:t>
      </w:r>
      <w:r>
        <w:rPr>
          <w:rFonts w:ascii="Times New Roman" w:hAnsi="Times New Roman"/>
          <w:color w:val="auto"/>
          <w:highlight w:val="none"/>
        </w:rPr>
        <w:t>项目的总体情况以及影响报价的其他要素。</w:t>
      </w:r>
      <w:r>
        <w:rPr>
          <w:rFonts w:hint="eastAsia" w:ascii="Times New Roman" w:hAnsi="Times New Roman"/>
          <w:color w:val="auto"/>
          <w:highlight w:val="none"/>
        </w:rPr>
        <w:t>对于货物和服务采购项目，</w:t>
      </w:r>
      <w:r>
        <w:rPr>
          <w:rFonts w:hint="eastAsia" w:ascii="宋体" w:hAnsi="宋体"/>
          <w:color w:val="auto"/>
          <w:szCs w:val="21"/>
          <w:highlight w:val="none"/>
        </w:rPr>
        <w:t>采购人在签署成交合同时及合同履行过程中，有权在</w:t>
      </w:r>
      <w:r>
        <w:rPr>
          <w:rFonts w:hint="eastAsia" w:ascii="黑体" w:hAnsi="黑体" w:eastAsia="黑体" w:cs="黑体"/>
          <w:iCs/>
          <w:color w:val="auto"/>
          <w:highlight w:val="none"/>
        </w:rPr>
        <w:t>供应商须知前附表</w:t>
      </w:r>
      <w:r>
        <w:rPr>
          <w:rFonts w:hint="eastAsia" w:ascii="宋体" w:hAnsi="宋体"/>
          <w:color w:val="auto"/>
          <w:szCs w:val="21"/>
          <w:highlight w:val="none"/>
        </w:rPr>
        <w:t>规定的幅度内</w:t>
      </w:r>
      <w:r>
        <w:rPr>
          <w:rFonts w:hint="eastAsia" w:ascii="Times New Roman" w:hAnsi="Times New Roman"/>
          <w:color w:val="auto"/>
          <w:highlight w:val="none"/>
        </w:rPr>
        <w:t>对采购标的的数量进行</w:t>
      </w:r>
      <w:r>
        <w:rPr>
          <w:rFonts w:hint="eastAsia" w:ascii="宋体" w:hAnsi="宋体"/>
          <w:color w:val="auto"/>
          <w:szCs w:val="21"/>
          <w:highlight w:val="none"/>
        </w:rPr>
        <w:t>增加或减少。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3 采购人</w:t>
      </w:r>
      <w:r>
        <w:rPr>
          <w:rFonts w:ascii="Times New Roman" w:hAnsi="Times New Roman"/>
          <w:color w:val="auto"/>
          <w:highlight w:val="none"/>
        </w:rPr>
        <w:t>设有最高限价的，</w:t>
      </w:r>
      <w:r>
        <w:rPr>
          <w:rFonts w:hint="eastAsia" w:ascii="Times New Roman" w:hAnsi="Times New Roman"/>
          <w:color w:val="auto"/>
          <w:highlight w:val="none"/>
        </w:rPr>
        <w:t>供应商</w:t>
      </w:r>
      <w:r>
        <w:rPr>
          <w:rFonts w:ascii="Times New Roman" w:hAnsi="Times New Roman"/>
          <w:color w:val="auto"/>
          <w:highlight w:val="none"/>
        </w:rPr>
        <w:t>的报价不得超过最高限价</w:t>
      </w:r>
      <w:r>
        <w:rPr>
          <w:rFonts w:hint="eastAsia" w:ascii="Times New Roman" w:hAnsi="Times New Roman"/>
          <w:color w:val="auto"/>
          <w:highlight w:val="none"/>
        </w:rPr>
        <w:t>。</w:t>
      </w:r>
      <w:r>
        <w:rPr>
          <w:rFonts w:ascii="Times New Roman" w:hAnsi="Times New Roman"/>
          <w:color w:val="auto"/>
          <w:highlight w:val="none"/>
        </w:rPr>
        <w:t>最高限价</w:t>
      </w:r>
      <w:r>
        <w:rPr>
          <w:rFonts w:hint="eastAsia" w:ascii="Times New Roman" w:hAnsi="Times New Roman"/>
          <w:color w:val="auto"/>
          <w:highlight w:val="none"/>
        </w:rPr>
        <w:t>或最高限价计算方法</w:t>
      </w:r>
      <w:r>
        <w:rPr>
          <w:rFonts w:ascii="Times New Roman" w:hAnsi="Times New Roman"/>
          <w:color w:val="auto"/>
          <w:highlight w:val="none"/>
        </w:rPr>
        <w:t>在</w:t>
      </w:r>
      <w:bookmarkStart w:id="113" w:name="_Toc152042320"/>
      <w:bookmarkStart w:id="114" w:name="_Toc10429"/>
      <w:bookmarkStart w:id="115" w:name="_Toc300834965"/>
      <w:bookmarkStart w:id="116" w:name="_Toc144974512"/>
      <w:bookmarkStart w:id="117" w:name="_Toc369531531"/>
      <w:bookmarkStart w:id="118" w:name="_Toc361508600"/>
      <w:bookmarkStart w:id="119" w:name="_Toc247513968"/>
      <w:bookmarkStart w:id="120" w:name="_Toc384308225"/>
      <w:bookmarkStart w:id="121" w:name="_Toc247527569"/>
      <w:bookmarkStart w:id="122" w:name="_Toc352691488"/>
      <w:bookmarkStart w:id="123" w:name="_Toc152045544"/>
      <w:r>
        <w:rPr>
          <w:rFonts w:hint="eastAsia" w:ascii="黑体" w:hAnsi="黑体" w:eastAsia="黑体" w:cs="黑体"/>
          <w:iCs/>
          <w:color w:val="auto"/>
          <w:highlight w:val="none"/>
        </w:rPr>
        <w:t>供应商须知前附表</w:t>
      </w:r>
      <w:r>
        <w:rPr>
          <w:rFonts w:ascii="Times New Roman" w:hAnsi="Times New Roman"/>
          <w:color w:val="auto"/>
          <w:highlight w:val="none"/>
        </w:rPr>
        <w:t>中载明。</w:t>
      </w:r>
      <w:bookmarkEnd w:id="113"/>
      <w:bookmarkEnd w:id="114"/>
      <w:bookmarkEnd w:id="115"/>
      <w:bookmarkEnd w:id="116"/>
      <w:bookmarkEnd w:id="117"/>
      <w:bookmarkEnd w:id="118"/>
      <w:bookmarkEnd w:id="119"/>
      <w:bookmarkEnd w:id="120"/>
      <w:bookmarkEnd w:id="121"/>
      <w:bookmarkEnd w:id="122"/>
      <w:bookmarkEnd w:id="12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 xml:space="preserve">3.2.4 </w:t>
      </w:r>
      <w:r>
        <w:rPr>
          <w:rFonts w:ascii="Times New Roman" w:hAnsi="Times New Roman"/>
          <w:color w:val="auto"/>
          <w:highlight w:val="none"/>
        </w:rPr>
        <w:t>报价的其他要求见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24" w:name="_Toc501460670"/>
      <w:bookmarkStart w:id="125" w:name="_Toc16838"/>
      <w:r>
        <w:rPr>
          <w:rFonts w:ascii="Times New Roman" w:hAnsi="Times New Roman"/>
          <w:color w:val="auto"/>
          <w:highlight w:val="none"/>
        </w:rPr>
        <w:t xml:space="preserve">3.3 </w:t>
      </w:r>
      <w:r>
        <w:rPr>
          <w:rFonts w:hint="eastAsia" w:ascii="Times New Roman" w:hAnsi="Times New Roman"/>
          <w:color w:val="auto"/>
          <w:highlight w:val="none"/>
        </w:rPr>
        <w:t>响应文件</w:t>
      </w:r>
      <w:r>
        <w:rPr>
          <w:rFonts w:ascii="Times New Roman" w:hAnsi="Times New Roman"/>
          <w:color w:val="auto"/>
          <w:highlight w:val="none"/>
        </w:rPr>
        <w:t>有效期</w:t>
      </w:r>
      <w:bookmarkEnd w:id="124"/>
      <w:bookmarkEnd w:id="1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3.3.1 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响应文件</w:t>
      </w:r>
      <w:r>
        <w:rPr>
          <w:rFonts w:ascii="Times New Roman" w:hAnsi="Times New Roman"/>
          <w:color w:val="auto"/>
          <w:highlight w:val="none"/>
        </w:rPr>
        <w:t>有效期</w:t>
      </w:r>
      <w:r>
        <w:rPr>
          <w:rFonts w:hint="eastAsia" w:ascii="Times New Roman" w:hAnsi="Times New Roman"/>
          <w:color w:val="auto"/>
          <w:highlight w:val="none"/>
        </w:rPr>
        <w:t>应</w:t>
      </w:r>
      <w:r>
        <w:rPr>
          <w:rFonts w:ascii="Times New Roman" w:hAnsi="Times New Roman"/>
          <w:color w:val="auto"/>
          <w:highlight w:val="none"/>
        </w:rPr>
        <w:t>为90</w:t>
      </w:r>
      <w:r>
        <w:rPr>
          <w:rFonts w:hint="eastAsia" w:ascii="Times New Roman" w:hAnsi="Times New Roman"/>
          <w:color w:val="auto"/>
          <w:highlight w:val="none"/>
        </w:rPr>
        <w:t>日，从采购文件规定的递交响应文件的截止时间开始计算</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3.3.2 出现特殊情况需要延长</w:t>
      </w:r>
      <w:r>
        <w:rPr>
          <w:rFonts w:hint="eastAsia" w:ascii="Times New Roman" w:hAnsi="Times New Roman"/>
          <w:color w:val="auto"/>
          <w:highlight w:val="none"/>
        </w:rPr>
        <w:t>响应文件有效期</w:t>
      </w:r>
      <w:r>
        <w:rPr>
          <w:rFonts w:ascii="Times New Roman" w:hAnsi="Times New Roman"/>
          <w:color w:val="auto"/>
          <w:highlight w:val="none"/>
        </w:rPr>
        <w:t>的，</w:t>
      </w:r>
      <w:r>
        <w:rPr>
          <w:rFonts w:hint="eastAsia" w:ascii="Times New Roman" w:hAnsi="Times New Roman"/>
          <w:color w:val="auto"/>
          <w:highlight w:val="none"/>
        </w:rPr>
        <w:t>采购人</w:t>
      </w:r>
      <w:r>
        <w:rPr>
          <w:rFonts w:ascii="Times New Roman" w:hAnsi="Times New Roman"/>
          <w:color w:val="auto"/>
          <w:highlight w:val="none"/>
        </w:rPr>
        <w:t>以书面形式通知所有</w:t>
      </w:r>
      <w:r>
        <w:rPr>
          <w:rFonts w:hint="eastAsia" w:ascii="Times New Roman" w:hAnsi="Times New Roman"/>
          <w:color w:val="auto"/>
          <w:highlight w:val="none"/>
        </w:rPr>
        <w:t>供应商</w:t>
      </w:r>
      <w:r>
        <w:rPr>
          <w:rFonts w:ascii="Times New Roman" w:hAnsi="Times New Roman"/>
          <w:color w:val="auto"/>
          <w:highlight w:val="none"/>
        </w:rPr>
        <w:t>延长</w:t>
      </w:r>
      <w:r>
        <w:rPr>
          <w:rFonts w:hint="eastAsia" w:ascii="Times New Roman" w:hAnsi="Times New Roman"/>
          <w:color w:val="auto"/>
          <w:highlight w:val="none"/>
        </w:rPr>
        <w:t>响应文件有效期</w:t>
      </w:r>
      <w:r>
        <w:rPr>
          <w:rFonts w:ascii="Times New Roman" w:hAnsi="Times New Roman"/>
          <w:color w:val="auto"/>
          <w:highlight w:val="none"/>
        </w:rPr>
        <w:t>。</w:t>
      </w:r>
      <w:r>
        <w:rPr>
          <w:rFonts w:hint="eastAsia" w:ascii="Times New Roman" w:hAnsi="Times New Roman"/>
          <w:color w:val="auto"/>
          <w:highlight w:val="none"/>
        </w:rPr>
        <w:t>供应商应予以书面答复。同意延长的，应相应延长其响应保证金的有效期，但不得修改</w:t>
      </w:r>
      <w:r>
        <w:rPr>
          <w:rFonts w:ascii="Times New Roman" w:hAnsi="Times New Roman"/>
          <w:color w:val="auto"/>
          <w:highlight w:val="none"/>
        </w:rPr>
        <w:t>其</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拒绝延长的，其</w:t>
      </w:r>
      <w:r>
        <w:rPr>
          <w:rFonts w:hint="eastAsia" w:ascii="Times New Roman" w:hAnsi="Times New Roman"/>
          <w:color w:val="auto"/>
          <w:highlight w:val="none"/>
        </w:rPr>
        <w:t>响应文件在原有效期届满后</w:t>
      </w:r>
      <w:r>
        <w:rPr>
          <w:rFonts w:ascii="Times New Roman" w:hAnsi="Times New Roman"/>
          <w:color w:val="auto"/>
          <w:highlight w:val="none"/>
        </w:rPr>
        <w:t>失效，但</w:t>
      </w:r>
      <w:r>
        <w:rPr>
          <w:rFonts w:hint="eastAsia" w:ascii="Times New Roman" w:hAnsi="Times New Roman"/>
          <w:color w:val="auto"/>
          <w:highlight w:val="none"/>
        </w:rPr>
        <w:t>供应商</w:t>
      </w:r>
      <w:r>
        <w:rPr>
          <w:rFonts w:ascii="Times New Roman" w:hAnsi="Times New Roman"/>
          <w:color w:val="auto"/>
          <w:highlight w:val="none"/>
        </w:rPr>
        <w:t>有权收回其</w:t>
      </w:r>
      <w:r>
        <w:rPr>
          <w:rFonts w:hint="eastAsia" w:ascii="Times New Roman" w:hAnsi="Times New Roman"/>
          <w:color w:val="auto"/>
          <w:highlight w:val="none"/>
        </w:rPr>
        <w:t>响应保证金</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26" w:name="_Toc16462"/>
      <w:bookmarkStart w:id="127" w:name="_Toc501460673"/>
      <w:r>
        <w:rPr>
          <w:rFonts w:ascii="Times New Roman" w:hAnsi="Times New Roman"/>
          <w:color w:val="auto"/>
          <w:highlight w:val="none"/>
        </w:rPr>
        <w:t>3.</w:t>
      </w:r>
      <w:r>
        <w:rPr>
          <w:rFonts w:hint="eastAsia" w:ascii="Times New Roman" w:hAnsi="Times New Roman"/>
          <w:color w:val="auto"/>
          <w:highlight w:val="none"/>
          <w:lang w:val="en-US" w:eastAsia="zh-CN"/>
        </w:rPr>
        <w:t>4</w:t>
      </w:r>
      <w:r>
        <w:rPr>
          <w:rFonts w:ascii="Times New Roman" w:hAnsi="Times New Roman"/>
          <w:color w:val="auto"/>
          <w:highlight w:val="none"/>
        </w:rPr>
        <w:t xml:space="preserve"> 资格审查资料</w:t>
      </w:r>
      <w:bookmarkEnd w:id="126"/>
      <w:bookmarkEnd w:id="12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w:t>
      </w:r>
      <w:r>
        <w:rPr>
          <w:rFonts w:hint="eastAsia" w:ascii="Times New Roman" w:hAnsi="Times New Roman"/>
          <w:color w:val="auto"/>
          <w:highlight w:val="none"/>
        </w:rPr>
        <w:t>提供</w:t>
      </w:r>
      <w:r>
        <w:rPr>
          <w:rFonts w:hint="eastAsia" w:ascii="黑体" w:hAnsi="黑体" w:eastAsia="黑体" w:cs="黑体"/>
          <w:iCs/>
          <w:color w:val="auto"/>
          <w:highlight w:val="none"/>
        </w:rPr>
        <w:t>供应商须知前附表3.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（1）-3.</w:t>
      </w:r>
      <w:r>
        <w:rPr>
          <w:rFonts w:hint="eastAsia" w:ascii="黑体" w:hAnsi="黑体" w:eastAsia="黑体" w:cs="黑体"/>
          <w:iCs/>
          <w:color w:val="auto"/>
          <w:highlight w:val="none"/>
          <w:lang w:val="en-US" w:eastAsia="zh-CN"/>
        </w:rPr>
        <w:t>4</w:t>
      </w:r>
      <w:r>
        <w:rPr>
          <w:rFonts w:hint="eastAsia" w:ascii="黑体" w:hAnsi="黑体" w:eastAsia="黑体" w:cs="黑体"/>
          <w:iCs/>
          <w:color w:val="auto"/>
          <w:highlight w:val="none"/>
        </w:rPr>
        <w:t>（9）中</w:t>
      </w:r>
      <w:r>
        <w:rPr>
          <w:rFonts w:ascii="Times New Roman" w:hAnsi="Times New Roman"/>
          <w:color w:val="auto"/>
          <w:highlight w:val="none"/>
        </w:rPr>
        <w:t>规定</w:t>
      </w:r>
      <w:r>
        <w:rPr>
          <w:rFonts w:hint="eastAsia" w:ascii="Times New Roman" w:hAnsi="Times New Roman"/>
          <w:color w:val="auto"/>
          <w:highlight w:val="none"/>
        </w:rPr>
        <w:t>的</w:t>
      </w:r>
      <w:r>
        <w:rPr>
          <w:rFonts w:ascii="Times New Roman" w:hAnsi="Times New Roman"/>
          <w:color w:val="auto"/>
          <w:highlight w:val="none"/>
        </w:rPr>
        <w:t>资格审查资料，以证明其满足</w:t>
      </w:r>
      <w:r>
        <w:rPr>
          <w:rFonts w:hint="eastAsia" w:ascii="Times New Roman" w:hAnsi="Times New Roman"/>
          <w:color w:val="auto"/>
          <w:highlight w:val="none"/>
        </w:rPr>
        <w:t>第一章“询比采购公告/询比采购邀请书”对供应商</w:t>
      </w:r>
      <w:r>
        <w:rPr>
          <w:rFonts w:ascii="Times New Roman" w:hAnsi="Times New Roman"/>
          <w:color w:val="auto"/>
          <w:highlight w:val="none"/>
        </w:rPr>
        <w:t>的</w:t>
      </w:r>
      <w:r>
        <w:rPr>
          <w:rFonts w:hint="eastAsia" w:ascii="Times New Roman" w:hAnsi="Times New Roman"/>
          <w:color w:val="auto"/>
          <w:highlight w:val="none"/>
        </w:rPr>
        <w:t>各项资格</w:t>
      </w:r>
      <w:r>
        <w:rPr>
          <w:rFonts w:ascii="Times New Roman" w:hAnsi="Times New Roman"/>
          <w:color w:val="auto"/>
          <w:highlight w:val="none"/>
        </w:rPr>
        <w:t>要求。</w:t>
      </w:r>
    </w:p>
    <w:p>
      <w:pPr>
        <w:pStyle w:val="2"/>
        <w:spacing w:line="240" w:lineRule="auto"/>
        <w:ind w:firstLine="137"/>
        <w:rPr>
          <w:rFonts w:ascii="Times New Roman" w:hAnsi="Times New Roman"/>
          <w:color w:val="auto"/>
          <w:highlight w:val="none"/>
        </w:rPr>
      </w:pPr>
      <w:bookmarkStart w:id="128" w:name="_Toc501460674"/>
      <w:bookmarkStart w:id="129" w:name="_Toc24319"/>
      <w:r>
        <w:rPr>
          <w:rFonts w:ascii="Times New Roman" w:hAnsi="Times New Roman"/>
          <w:color w:val="auto"/>
          <w:highlight w:val="none"/>
        </w:rPr>
        <w:t>3.</w:t>
      </w:r>
      <w:bookmarkEnd w:id="128"/>
      <w:r>
        <w:rPr>
          <w:rFonts w:hint="eastAsia" w:ascii="Times New Roman" w:hAnsi="Times New Roman"/>
          <w:color w:val="auto"/>
          <w:highlight w:val="none"/>
          <w:lang w:val="en-US" w:eastAsia="zh-CN"/>
        </w:rPr>
        <w:t>5</w:t>
      </w:r>
      <w:r>
        <w:rPr>
          <w:rFonts w:ascii="Times New Roman" w:hAnsi="Times New Roman"/>
          <w:color w:val="auto"/>
          <w:highlight w:val="none"/>
        </w:rPr>
        <w:t xml:space="preserve"> </w:t>
      </w:r>
      <w:r>
        <w:rPr>
          <w:rFonts w:hint="eastAsia" w:ascii="Times New Roman" w:hAnsi="Times New Roman"/>
          <w:color w:val="auto"/>
          <w:highlight w:val="none"/>
        </w:rPr>
        <w:t>响应</w:t>
      </w:r>
      <w:r>
        <w:rPr>
          <w:rFonts w:ascii="Times New Roman" w:hAnsi="Times New Roman"/>
          <w:color w:val="auto"/>
          <w:highlight w:val="none"/>
        </w:rPr>
        <w:t>方案</w:t>
      </w:r>
      <w:bookmarkEnd w:id="12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1 响应文件</w:t>
      </w:r>
      <w:r>
        <w:rPr>
          <w:rFonts w:ascii="Times New Roman" w:hAnsi="Times New Roman"/>
          <w:color w:val="auto"/>
          <w:highlight w:val="none"/>
        </w:rPr>
        <w:t>应当对</w:t>
      </w:r>
      <w:r>
        <w:rPr>
          <w:rFonts w:hint="eastAsia" w:ascii="Times New Roman" w:hAnsi="Times New Roman"/>
          <w:color w:val="auto"/>
          <w:highlight w:val="none"/>
        </w:rPr>
        <w:t>采购文件中的</w:t>
      </w:r>
      <w:r>
        <w:rPr>
          <w:rFonts w:ascii="Times New Roman" w:hAnsi="Times New Roman"/>
          <w:color w:val="auto"/>
          <w:highlight w:val="none"/>
        </w:rPr>
        <w:t>实质性内容作出响应。</w:t>
      </w:r>
      <w:r>
        <w:rPr>
          <w:rFonts w:hint="eastAsia" w:ascii="Times New Roman" w:hAnsi="Times New Roman"/>
          <w:color w:val="auto"/>
          <w:highlight w:val="none"/>
        </w:rPr>
        <w:t>采购需求中明确为关键条款（标记“*”）的，供应商还应按照</w:t>
      </w:r>
      <w:r>
        <w:rPr>
          <w:rFonts w:hint="eastAsia" w:ascii="黑体" w:hAnsi="黑体" w:eastAsia="黑体" w:cs="黑体"/>
          <w:iCs/>
          <w:color w:val="auto"/>
          <w:highlight w:val="none"/>
        </w:rPr>
        <w:t>供应商须知前附表的规定</w:t>
      </w:r>
      <w:r>
        <w:rPr>
          <w:rFonts w:hint="eastAsia" w:ascii="Times New Roman" w:hAnsi="Times New Roman"/>
          <w:color w:val="auto"/>
          <w:highlight w:val="none"/>
        </w:rPr>
        <w:t>提供有关证据或证明材料。</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hint="eastAsia" w:ascii="Times New Roman" w:hAnsi="Times New Roman"/>
          <w:color w:val="auto"/>
          <w:highlight w:val="none"/>
        </w:rPr>
        <w:t>.2供应商只能提出唯一的响应方案。供应商在响应文件中提出多个响应方案的，其响应文件将被视为无效。</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对</w:t>
      </w:r>
      <w:r>
        <w:rPr>
          <w:rFonts w:hint="eastAsia" w:ascii="Times New Roman" w:hAnsi="Times New Roman"/>
          <w:color w:val="auto"/>
          <w:highlight w:val="none"/>
        </w:rPr>
        <w:t>采购文件</w:t>
      </w:r>
      <w:r>
        <w:rPr>
          <w:rFonts w:ascii="Times New Roman" w:hAnsi="Times New Roman"/>
          <w:color w:val="auto"/>
          <w:highlight w:val="none"/>
        </w:rPr>
        <w:t>的全部偏差，均应在</w:t>
      </w:r>
      <w:r>
        <w:rPr>
          <w:rFonts w:hint="eastAsia" w:ascii="Times New Roman" w:hAnsi="Times New Roman"/>
          <w:color w:val="auto"/>
          <w:highlight w:val="none"/>
        </w:rPr>
        <w:t>响应文件</w:t>
      </w:r>
      <w:r>
        <w:rPr>
          <w:rFonts w:ascii="Times New Roman" w:hAnsi="Times New Roman"/>
          <w:color w:val="auto"/>
          <w:highlight w:val="none"/>
        </w:rPr>
        <w:t>的</w:t>
      </w:r>
      <w:r>
        <w:rPr>
          <w:rFonts w:ascii="Times New Roman" w:hAnsi="Times New Roman"/>
          <w:color w:val="auto"/>
          <w:szCs w:val="21"/>
          <w:highlight w:val="none"/>
        </w:rPr>
        <w:t>商务和技术偏差表</w:t>
      </w:r>
      <w:r>
        <w:rPr>
          <w:rFonts w:ascii="Times New Roman" w:hAnsi="Times New Roman"/>
          <w:color w:val="auto"/>
          <w:highlight w:val="none"/>
        </w:rPr>
        <w:t>中列明</w:t>
      </w:r>
      <w:r>
        <w:rPr>
          <w:rFonts w:hint="eastAsia" w:ascii="Times New Roman" w:hAnsi="Times New Roman"/>
          <w:color w:val="auto"/>
          <w:highlight w:val="none"/>
        </w:rPr>
        <w:t>。响应文件偏差表中未列明的内容</w:t>
      </w:r>
      <w:r>
        <w:rPr>
          <w:rFonts w:ascii="Times New Roman" w:hAnsi="Times New Roman"/>
          <w:color w:val="auto"/>
          <w:highlight w:val="none"/>
        </w:rPr>
        <w:t>，</w:t>
      </w:r>
      <w:r>
        <w:rPr>
          <w:rFonts w:hint="eastAsia" w:ascii="Times New Roman" w:hAnsi="Times New Roman"/>
          <w:color w:val="auto"/>
          <w:highlight w:val="none"/>
        </w:rPr>
        <w:t>将</w:t>
      </w:r>
      <w:r>
        <w:rPr>
          <w:rFonts w:hint="eastAsia" w:ascii="Times New Roman" w:hAnsi="Times New Roman"/>
          <w:color w:val="auto"/>
          <w:szCs w:val="21"/>
          <w:highlight w:val="none"/>
        </w:rPr>
        <w:t>视为供应商响应采购文件的要求；</w:t>
      </w:r>
      <w:r>
        <w:rPr>
          <w:rFonts w:hint="eastAsia" w:ascii="Times New Roman" w:hAnsi="Times New Roman"/>
          <w:color w:val="auto"/>
          <w:highlight w:val="none"/>
        </w:rPr>
        <w:t>但如发现响应文件的其他部分与</w:t>
      </w:r>
      <w:r>
        <w:rPr>
          <w:rFonts w:ascii="Times New Roman" w:hAnsi="Times New Roman"/>
          <w:color w:val="auto"/>
          <w:highlight w:val="none"/>
        </w:rPr>
        <w:t>商务和技术偏差表</w:t>
      </w:r>
      <w:r>
        <w:rPr>
          <w:rFonts w:hint="eastAsia" w:ascii="Times New Roman" w:hAnsi="Times New Roman"/>
          <w:color w:val="auto"/>
          <w:highlight w:val="none"/>
        </w:rPr>
        <w:t>的描述不一致或供应商的响应缺乏支持性文件，则评审小组有权要求供应商对相关问题进行澄清，并根据澄清结果对供应商的响应文件进行评审。</w:t>
      </w:r>
    </w:p>
    <w:p>
      <w:pPr>
        <w:pStyle w:val="2"/>
        <w:spacing w:line="240" w:lineRule="auto"/>
        <w:ind w:firstLine="137"/>
        <w:rPr>
          <w:rFonts w:ascii="Times New Roman" w:hAnsi="Times New Roman"/>
          <w:color w:val="auto"/>
          <w:highlight w:val="none"/>
        </w:rPr>
      </w:pPr>
      <w:bookmarkStart w:id="130" w:name="_Toc501460675"/>
      <w:bookmarkStart w:id="131" w:name="_Toc12908"/>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 </w:t>
      </w:r>
      <w:r>
        <w:rPr>
          <w:rFonts w:hint="eastAsia" w:ascii="Times New Roman" w:hAnsi="Times New Roman"/>
          <w:color w:val="auto"/>
          <w:highlight w:val="none"/>
        </w:rPr>
        <w:t>响应文件</w:t>
      </w:r>
      <w:r>
        <w:rPr>
          <w:rFonts w:ascii="Times New Roman" w:hAnsi="Times New Roman"/>
          <w:color w:val="auto"/>
          <w:highlight w:val="none"/>
        </w:rPr>
        <w:t>的编制</w:t>
      </w:r>
      <w:bookmarkEnd w:id="130"/>
      <w:bookmarkEnd w:id="131"/>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.1 </w:t>
      </w:r>
      <w:r>
        <w:rPr>
          <w:rFonts w:hint="eastAsia" w:ascii="Times New Roman" w:hAnsi="Times New Roman"/>
          <w:color w:val="auto"/>
          <w:highlight w:val="none"/>
        </w:rPr>
        <w:t>响应文件</w:t>
      </w:r>
      <w:r>
        <w:rPr>
          <w:rFonts w:ascii="Times New Roman" w:hAnsi="Times New Roman"/>
          <w:color w:val="auto"/>
          <w:highlight w:val="none"/>
        </w:rPr>
        <w:t>应按第六章</w:t>
      </w:r>
      <w:r>
        <w:rPr>
          <w:rFonts w:hint="eastAsia" w:ascii="Times New Roman" w:hAnsi="Times New Roman"/>
          <w:color w:val="auto"/>
          <w:highlight w:val="none"/>
        </w:rPr>
        <w:t>“响应文件</w:t>
      </w:r>
      <w:r>
        <w:rPr>
          <w:rFonts w:ascii="Times New Roman" w:hAnsi="Times New Roman"/>
          <w:color w:val="auto"/>
          <w:highlight w:val="none"/>
        </w:rPr>
        <w:t>格式</w:t>
      </w:r>
      <w:r>
        <w:rPr>
          <w:rFonts w:hint="eastAsia" w:ascii="Times New Roman" w:hAnsi="Times New Roman"/>
          <w:color w:val="auto"/>
          <w:highlight w:val="none"/>
        </w:rPr>
        <w:t>”</w:t>
      </w:r>
      <w:r>
        <w:rPr>
          <w:rFonts w:ascii="Times New Roman" w:hAnsi="Times New Roman"/>
          <w:color w:val="auto"/>
          <w:highlight w:val="none"/>
        </w:rPr>
        <w:t>进行编写，如有必要，可以增加附页，作为</w:t>
      </w:r>
      <w:r>
        <w:rPr>
          <w:rFonts w:hint="eastAsia" w:ascii="Times New Roman" w:hAnsi="Times New Roman"/>
          <w:color w:val="auto"/>
          <w:highlight w:val="none"/>
        </w:rPr>
        <w:t>响应文件</w:t>
      </w:r>
      <w:r>
        <w:rPr>
          <w:rFonts w:ascii="Times New Roman" w:hAnsi="Times New Roman"/>
          <w:color w:val="auto"/>
          <w:highlight w:val="none"/>
        </w:rPr>
        <w:t>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lang w:val="en-US" w:eastAsia="zh-CN"/>
        </w:rPr>
        <w:t>6</w:t>
      </w:r>
      <w:r>
        <w:rPr>
          <w:rFonts w:ascii="Times New Roman" w:hAnsi="Times New Roman"/>
          <w:color w:val="auto"/>
          <w:highlight w:val="none"/>
        </w:rPr>
        <w:t xml:space="preserve">.2 </w:t>
      </w:r>
      <w:r>
        <w:rPr>
          <w:rFonts w:hint="eastAsia" w:ascii="Times New Roman" w:hAnsi="Times New Roman"/>
          <w:color w:val="auto"/>
          <w:highlight w:val="none"/>
        </w:rPr>
        <w:t>（A）（1）响应文件应用不褪色的材料书写或打印，响应函以及对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响应文件签字或盖章的具体要求见供应商须知前附表。</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spacing w:line="400" w:lineRule="exact"/>
        <w:ind w:firstLine="420" w:firstLineChars="200"/>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（3）响应文件的正本与副本应分别装订，并编制目录，响应文件需分册装订的，具体分册装订要求见供应商须知前附表规定。响应文件的装订应牢固、不易拆散和换页。</w:t>
      </w:r>
    </w:p>
    <w:p>
      <w:pPr>
        <w:pStyle w:val="4"/>
        <w:rPr>
          <w:rFonts w:ascii="Times New Roman" w:hAnsi="Times New Roman"/>
          <w:color w:val="auto"/>
          <w:highlight w:val="none"/>
        </w:rPr>
      </w:pPr>
      <w:bookmarkStart w:id="132" w:name="_Toc501460676"/>
      <w:bookmarkStart w:id="133" w:name="_Toc21337"/>
      <w:r>
        <w:rPr>
          <w:rFonts w:ascii="Times New Roman" w:hAnsi="Times New Roman"/>
          <w:color w:val="auto"/>
          <w:highlight w:val="none"/>
        </w:rPr>
        <w:t xml:space="preserve">4. </w:t>
      </w:r>
      <w:bookmarkEnd w:id="132"/>
      <w:r>
        <w:rPr>
          <w:rFonts w:hint="eastAsia" w:ascii="Times New Roman" w:hAnsi="Times New Roman"/>
          <w:color w:val="auto"/>
          <w:highlight w:val="none"/>
        </w:rPr>
        <w:t>响应文件的递交</w:t>
      </w:r>
      <w:bookmarkEnd w:id="133"/>
    </w:p>
    <w:p>
      <w:pPr>
        <w:pStyle w:val="2"/>
        <w:spacing w:line="240" w:lineRule="auto"/>
        <w:ind w:firstLine="137"/>
        <w:rPr>
          <w:rFonts w:ascii="Times New Roman" w:hAnsi="Times New Roman"/>
          <w:color w:val="auto"/>
          <w:highlight w:val="none"/>
        </w:rPr>
      </w:pPr>
      <w:bookmarkStart w:id="134" w:name="_Toc25061"/>
      <w:bookmarkStart w:id="135" w:name="_Toc501460677"/>
      <w:r>
        <w:rPr>
          <w:rFonts w:ascii="Times New Roman" w:hAnsi="Times New Roman"/>
          <w:color w:val="auto"/>
          <w:highlight w:val="none"/>
        </w:rPr>
        <w:t xml:space="preserve">4.1 </w:t>
      </w:r>
      <w:r>
        <w:rPr>
          <w:rFonts w:hint="eastAsia" w:ascii="Times New Roman" w:hAnsi="Times New Roman"/>
          <w:color w:val="auto"/>
          <w:highlight w:val="none"/>
        </w:rPr>
        <w:t>响应文件</w:t>
      </w:r>
      <w:r>
        <w:rPr>
          <w:rFonts w:ascii="Times New Roman" w:hAnsi="Times New Roman"/>
          <w:color w:val="auto"/>
          <w:highlight w:val="none"/>
        </w:rPr>
        <w:t>的</w:t>
      </w:r>
      <w:r>
        <w:rPr>
          <w:rFonts w:hint="eastAsia" w:ascii="Times New Roman" w:hAnsi="Times New Roman"/>
          <w:color w:val="auto"/>
          <w:highlight w:val="none"/>
        </w:rPr>
        <w:t>包装</w:t>
      </w:r>
      <w:r>
        <w:rPr>
          <w:rFonts w:ascii="Times New Roman" w:hAnsi="Times New Roman"/>
          <w:color w:val="auto"/>
          <w:highlight w:val="none"/>
        </w:rPr>
        <w:t>和标记</w:t>
      </w:r>
      <w:bookmarkEnd w:id="134"/>
      <w:bookmarkEnd w:id="13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4.1.1（A）</w:t>
      </w:r>
      <w:r>
        <w:rPr>
          <w:rFonts w:hint="eastAsia" w:ascii="Times New Roman" w:hAnsi="Times New Roman"/>
          <w:color w:val="auto"/>
          <w:highlight w:val="none"/>
          <w:lang w:val="en-US" w:eastAsia="zh-CN"/>
        </w:rPr>
        <w:t>响应</w:t>
      </w:r>
      <w:r>
        <w:rPr>
          <w:rFonts w:ascii="Times New Roman" w:hAnsi="Times New Roman"/>
          <w:color w:val="auto"/>
          <w:highlight w:val="none"/>
        </w:rPr>
        <w:t>文件应密封包装，并在封套的封口处加盖</w:t>
      </w:r>
      <w:r>
        <w:rPr>
          <w:rFonts w:hint="eastAsia" w:ascii="Times New Roman" w:hAnsi="Times New Roman"/>
          <w:color w:val="auto"/>
          <w:highlight w:val="none"/>
          <w:lang w:val="en-US" w:eastAsia="zh-CN"/>
        </w:rPr>
        <w:t>供应商</w:t>
      </w:r>
      <w:r>
        <w:rPr>
          <w:rFonts w:ascii="Times New Roman" w:hAnsi="Times New Roman"/>
          <w:color w:val="auto"/>
          <w:highlight w:val="none"/>
        </w:rPr>
        <w:t>单位章或由</w:t>
      </w:r>
      <w:r>
        <w:rPr>
          <w:rFonts w:hint="eastAsia" w:ascii="Times New Roman" w:hAnsi="Times New Roman"/>
          <w:color w:val="auto"/>
          <w:highlight w:val="none"/>
          <w:lang w:val="en-US" w:eastAsia="zh-CN"/>
        </w:rPr>
        <w:t>供应商</w:t>
      </w:r>
      <w:r>
        <w:rPr>
          <w:rFonts w:ascii="Times New Roman" w:hAnsi="Times New Roman"/>
          <w:color w:val="auto"/>
          <w:highlight w:val="none"/>
        </w:rPr>
        <w:t>的法定代表人（单位负责人）或其授权的代理人签字。</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4.1.2 </w:t>
      </w:r>
      <w:r>
        <w:rPr>
          <w:rFonts w:hint="eastAsia" w:ascii="Times New Roman" w:hAnsi="Times New Roman"/>
          <w:color w:val="auto"/>
          <w:highlight w:val="none"/>
          <w:lang w:val="en-US" w:eastAsia="zh-CN"/>
        </w:rPr>
        <w:t>响应</w:t>
      </w:r>
      <w:r>
        <w:rPr>
          <w:rFonts w:ascii="Times New Roman" w:hAnsi="Times New Roman"/>
          <w:color w:val="auto"/>
          <w:highlight w:val="none"/>
        </w:rPr>
        <w:t>文件封套上应写明的内容见</w:t>
      </w:r>
      <w:r>
        <w:rPr>
          <w:rFonts w:hint="eastAsia" w:ascii="Times New Roman" w:hAnsi="Times New Roman"/>
          <w:color w:val="auto"/>
          <w:highlight w:val="none"/>
          <w:lang w:val="en-US" w:eastAsia="zh-CN"/>
        </w:rPr>
        <w:t>供应商</w:t>
      </w:r>
      <w:r>
        <w:rPr>
          <w:rFonts w:ascii="Times New Roman" w:hAnsi="Times New Roman"/>
          <w:color w:val="auto"/>
          <w:highlight w:val="none"/>
        </w:rPr>
        <w:t>须知前附表。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4.1.3 未按本章第4.1.1项要求密封的</w:t>
      </w:r>
      <w:r>
        <w:rPr>
          <w:rFonts w:hint="eastAsia" w:ascii="Times New Roman" w:hAnsi="Times New Roman"/>
          <w:color w:val="auto"/>
          <w:highlight w:val="none"/>
          <w:lang w:val="en-US" w:eastAsia="zh-CN"/>
        </w:rPr>
        <w:t>响应</w:t>
      </w:r>
      <w:r>
        <w:rPr>
          <w:rFonts w:ascii="Times New Roman" w:hAnsi="Times New Roman"/>
          <w:color w:val="auto"/>
          <w:highlight w:val="none"/>
        </w:rPr>
        <w:t>文件，</w:t>
      </w:r>
      <w:r>
        <w:rPr>
          <w:rFonts w:hint="eastAsia" w:ascii="Times New Roman" w:hAnsi="Times New Roman"/>
          <w:color w:val="auto"/>
          <w:highlight w:val="none"/>
          <w:lang w:val="en-US" w:eastAsia="zh-CN"/>
        </w:rPr>
        <w:t>采购</w:t>
      </w:r>
      <w:r>
        <w:rPr>
          <w:rFonts w:ascii="Times New Roman" w:hAnsi="Times New Roman"/>
          <w:color w:val="auto"/>
          <w:highlight w:val="none"/>
        </w:rPr>
        <w:t>人将予以拒收。</w:t>
      </w:r>
    </w:p>
    <w:p>
      <w:pPr>
        <w:pStyle w:val="2"/>
        <w:spacing w:line="240" w:lineRule="auto"/>
        <w:ind w:firstLine="137"/>
        <w:rPr>
          <w:rFonts w:ascii="Times New Roman" w:hAnsi="Times New Roman"/>
          <w:color w:val="auto"/>
          <w:highlight w:val="none"/>
        </w:rPr>
      </w:pPr>
      <w:bookmarkStart w:id="136" w:name="_Toc501460678"/>
      <w:bookmarkStart w:id="137" w:name="_Toc22901"/>
      <w:r>
        <w:rPr>
          <w:rFonts w:ascii="Times New Roman" w:hAnsi="Times New Roman"/>
          <w:color w:val="auto"/>
          <w:highlight w:val="none"/>
        </w:rPr>
        <w:t xml:space="preserve">4.2 </w:t>
      </w:r>
      <w:r>
        <w:rPr>
          <w:rFonts w:hint="eastAsia" w:ascii="Times New Roman" w:hAnsi="Times New Roman"/>
          <w:color w:val="auto"/>
          <w:highlight w:val="none"/>
        </w:rPr>
        <w:t>响应文件</w:t>
      </w:r>
      <w:r>
        <w:rPr>
          <w:rFonts w:ascii="Times New Roman" w:hAnsi="Times New Roman"/>
          <w:color w:val="auto"/>
          <w:highlight w:val="none"/>
        </w:rPr>
        <w:t>的递交</w:t>
      </w:r>
      <w:bookmarkEnd w:id="136"/>
      <w:bookmarkEnd w:id="137"/>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4.2.1 </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r>
        <w:rPr>
          <w:rFonts w:hint="eastAsia" w:ascii="Times New Roman" w:hAnsi="Times New Roman"/>
          <w:color w:val="auto"/>
          <w:highlight w:val="none"/>
        </w:rPr>
        <w:t>供应商</w:t>
      </w:r>
      <w:r>
        <w:rPr>
          <w:rFonts w:ascii="Times New Roman" w:hAnsi="Times New Roman"/>
          <w:color w:val="auto"/>
          <w:highlight w:val="none"/>
        </w:rPr>
        <w:t>应在</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递交响应文件的截止时间</w:t>
      </w:r>
      <w:r>
        <w:rPr>
          <w:rFonts w:ascii="Times New Roman" w:hAnsi="Times New Roman"/>
          <w:color w:val="auto"/>
          <w:highlight w:val="none"/>
        </w:rPr>
        <w:t>前</w:t>
      </w:r>
      <w:r>
        <w:rPr>
          <w:rFonts w:hint="eastAsia" w:ascii="Times New Roman" w:hAnsi="Times New Roman"/>
          <w:color w:val="auto"/>
          <w:highlight w:val="none"/>
        </w:rPr>
        <w:t>，将响应文件递交到</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地点</w:t>
      </w:r>
      <w:r>
        <w:rPr>
          <w:rFonts w:ascii="Times New Roman" w:hAnsi="Times New Roman"/>
          <w:color w:val="auto"/>
          <w:highlight w:val="none"/>
        </w:rPr>
        <w:t>。逾期送达的</w:t>
      </w:r>
      <w:r>
        <w:rPr>
          <w:rFonts w:hint="eastAsia" w:ascii="Times New Roman" w:hAnsi="Times New Roman"/>
          <w:color w:val="auto"/>
          <w:highlight w:val="none"/>
        </w:rPr>
        <w:t>或者未送达指定地点</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w:t>
      </w:r>
      <w:r>
        <w:rPr>
          <w:rFonts w:hint="eastAsia" w:ascii="Times New Roman" w:hAnsi="Times New Roman"/>
          <w:color w:val="auto"/>
          <w:highlight w:val="none"/>
        </w:rPr>
        <w:t>拒绝接收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4.2.2</w:t>
      </w:r>
      <w:r>
        <w:rPr>
          <w:rFonts w:hint="eastAsia" w:ascii="Times New Roman" w:hAnsi="Times New Roman"/>
          <w:color w:val="auto"/>
          <w:highlight w:val="none"/>
        </w:rPr>
        <w:t xml:space="preserve"> </w:t>
      </w:r>
      <w:r>
        <w:rPr>
          <w:rFonts w:ascii="Times New Roman" w:hAnsi="Times New Roman"/>
          <w:color w:val="auto"/>
          <w:highlight w:val="none"/>
        </w:rPr>
        <w:t>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w:t>
      </w:r>
      <w:r>
        <w:rPr>
          <w:rFonts w:hint="eastAsia" w:ascii="Times New Roman" w:hAnsi="Times New Roman"/>
          <w:color w:val="auto"/>
          <w:highlight w:val="none"/>
        </w:rPr>
        <w:t>供应商</w:t>
      </w:r>
      <w:r>
        <w:rPr>
          <w:rFonts w:ascii="Times New Roman" w:hAnsi="Times New Roman"/>
          <w:color w:val="auto"/>
          <w:highlight w:val="none"/>
        </w:rPr>
        <w:t>所递交的</w:t>
      </w:r>
      <w:r>
        <w:rPr>
          <w:rFonts w:hint="eastAsia" w:ascii="Times New Roman" w:hAnsi="Times New Roman"/>
          <w:color w:val="auto"/>
          <w:highlight w:val="none"/>
        </w:rPr>
        <w:t>响应文件</w:t>
      </w:r>
      <w:r>
        <w:rPr>
          <w:rFonts w:ascii="Times New Roman" w:hAnsi="Times New Roman"/>
          <w:color w:val="auto"/>
          <w:highlight w:val="none"/>
        </w:rPr>
        <w:t>不予退还。</w:t>
      </w:r>
    </w:p>
    <w:p>
      <w:pPr>
        <w:pStyle w:val="2"/>
        <w:spacing w:line="240" w:lineRule="auto"/>
        <w:ind w:firstLine="137"/>
        <w:rPr>
          <w:rFonts w:ascii="Times New Roman" w:hAnsi="Times New Roman"/>
          <w:color w:val="auto"/>
          <w:highlight w:val="none"/>
        </w:rPr>
      </w:pPr>
      <w:bookmarkStart w:id="138" w:name="_Toc25499"/>
      <w:bookmarkStart w:id="139" w:name="_Toc501460679"/>
      <w:r>
        <w:rPr>
          <w:rFonts w:ascii="Times New Roman" w:hAnsi="Times New Roman"/>
          <w:color w:val="auto"/>
          <w:highlight w:val="none"/>
        </w:rPr>
        <w:t xml:space="preserve">4.3 </w:t>
      </w:r>
      <w:r>
        <w:rPr>
          <w:rFonts w:hint="eastAsia" w:ascii="Times New Roman" w:hAnsi="Times New Roman"/>
          <w:color w:val="auto"/>
          <w:highlight w:val="none"/>
        </w:rPr>
        <w:t>响应文件</w:t>
      </w:r>
      <w:r>
        <w:rPr>
          <w:rFonts w:ascii="Times New Roman" w:hAnsi="Times New Roman"/>
          <w:color w:val="auto"/>
          <w:highlight w:val="none"/>
        </w:rPr>
        <w:t>的修改与撤回</w:t>
      </w:r>
      <w:bookmarkEnd w:id="138"/>
      <w:bookmarkEnd w:id="139"/>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w:t>
      </w:r>
      <w:r>
        <w:rPr>
          <w:rFonts w:hint="eastAsia" w:ascii="Times New Roman" w:hAnsi="Times New Roman"/>
          <w:color w:val="auto"/>
          <w:highlight w:val="none"/>
          <w:lang w:val="en-US" w:eastAsia="zh-CN"/>
        </w:rPr>
        <w:t>递交响应文件</w:t>
      </w:r>
      <w:r>
        <w:rPr>
          <w:rFonts w:ascii="Times New Roman" w:hAnsi="Times New Roman"/>
          <w:color w:val="auto"/>
          <w:highlight w:val="none"/>
        </w:rPr>
        <w:t>截止时间前，</w:t>
      </w:r>
      <w:r>
        <w:rPr>
          <w:rFonts w:hint="eastAsia" w:ascii="Times New Roman" w:hAnsi="Times New Roman"/>
          <w:color w:val="auto"/>
          <w:highlight w:val="none"/>
          <w:lang w:eastAsia="zh-CN"/>
        </w:rPr>
        <w:t>供应商</w:t>
      </w:r>
      <w:r>
        <w:rPr>
          <w:rFonts w:ascii="Times New Roman" w:hAnsi="Times New Roman"/>
          <w:color w:val="auto"/>
          <w:highlight w:val="none"/>
        </w:rPr>
        <w:t>可以修改或撤回已递交的</w:t>
      </w:r>
      <w:r>
        <w:rPr>
          <w:rFonts w:hint="eastAsia" w:ascii="Times New Roman" w:hAnsi="Times New Roman"/>
          <w:color w:val="auto"/>
          <w:highlight w:val="none"/>
          <w:lang w:val="en-US" w:eastAsia="zh-CN"/>
        </w:rPr>
        <w:t>响应</w:t>
      </w:r>
      <w:r>
        <w:rPr>
          <w:rFonts w:ascii="Times New Roman" w:hAnsi="Times New Roman"/>
          <w:color w:val="auto"/>
          <w:highlight w:val="none"/>
        </w:rPr>
        <w:t>文件，但应以书面形式通知</w:t>
      </w:r>
      <w:r>
        <w:rPr>
          <w:rFonts w:hint="eastAsia" w:ascii="Times New Roman" w:hAnsi="Times New Roman"/>
          <w:color w:val="auto"/>
          <w:highlight w:val="none"/>
          <w:lang w:eastAsia="zh-CN"/>
        </w:rPr>
        <w:t>采购人</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4.3.2（A）</w:t>
      </w:r>
      <w:r>
        <w:rPr>
          <w:rFonts w:hint="eastAsia" w:ascii="Times New Roman" w:hAnsi="Times New Roman"/>
          <w:color w:val="auto"/>
          <w:highlight w:val="none"/>
          <w:lang w:eastAsia="zh-CN"/>
        </w:rPr>
        <w:t>供应商</w:t>
      </w:r>
      <w:r>
        <w:rPr>
          <w:rFonts w:ascii="Times New Roman" w:hAnsi="Times New Roman"/>
          <w:color w:val="auto"/>
          <w:highlight w:val="none"/>
        </w:rPr>
        <w:t>修改或撤回已递交</w:t>
      </w:r>
      <w:r>
        <w:rPr>
          <w:rFonts w:hint="eastAsia" w:ascii="Times New Roman" w:hAnsi="Times New Roman"/>
          <w:color w:val="auto"/>
          <w:highlight w:val="none"/>
          <w:lang w:eastAsia="zh-CN"/>
        </w:rPr>
        <w:t>响应文件</w:t>
      </w:r>
      <w:r>
        <w:rPr>
          <w:rFonts w:ascii="Times New Roman" w:hAnsi="Times New Roman"/>
          <w:color w:val="auto"/>
          <w:highlight w:val="none"/>
        </w:rPr>
        <w:t>的书面通知应按照本章第3.7.3（A）项的要求签字或盖章。</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4.3.3 </w:t>
      </w:r>
      <w:r>
        <w:rPr>
          <w:rFonts w:hint="eastAsia" w:ascii="Times New Roman" w:hAnsi="Times New Roman"/>
          <w:color w:val="auto"/>
          <w:highlight w:val="none"/>
          <w:lang w:eastAsia="zh-CN"/>
        </w:rPr>
        <w:t>供应商</w:t>
      </w:r>
      <w:r>
        <w:rPr>
          <w:rFonts w:ascii="Times New Roman" w:hAnsi="Times New Roman"/>
          <w:color w:val="auto"/>
          <w:highlight w:val="none"/>
        </w:rPr>
        <w:t>撤回</w:t>
      </w:r>
      <w:r>
        <w:rPr>
          <w:rFonts w:hint="eastAsia" w:ascii="Times New Roman" w:hAnsi="Times New Roman"/>
          <w:color w:val="auto"/>
          <w:highlight w:val="none"/>
          <w:lang w:eastAsia="zh-CN"/>
        </w:rPr>
        <w:t>响应文件</w:t>
      </w:r>
      <w:r>
        <w:rPr>
          <w:rFonts w:ascii="Times New Roman" w:hAnsi="Times New Roman"/>
          <w:color w:val="auto"/>
          <w:highlight w:val="none"/>
        </w:rPr>
        <w:t>的，</w:t>
      </w:r>
      <w:r>
        <w:rPr>
          <w:rFonts w:hint="eastAsia" w:ascii="Times New Roman" w:hAnsi="Times New Roman"/>
          <w:color w:val="auto"/>
          <w:highlight w:val="none"/>
          <w:lang w:eastAsia="zh-CN"/>
        </w:rPr>
        <w:t>采购人</w:t>
      </w:r>
      <w:r>
        <w:rPr>
          <w:rFonts w:ascii="Times New Roman" w:hAnsi="Times New Roman"/>
          <w:color w:val="auto"/>
          <w:highlight w:val="none"/>
        </w:rPr>
        <w:t>自收到</w:t>
      </w:r>
      <w:r>
        <w:rPr>
          <w:rFonts w:hint="eastAsia" w:ascii="Times New Roman" w:hAnsi="Times New Roman"/>
          <w:color w:val="auto"/>
          <w:highlight w:val="none"/>
          <w:lang w:eastAsia="zh-CN"/>
        </w:rPr>
        <w:t>供应商</w:t>
      </w:r>
      <w:r>
        <w:rPr>
          <w:rFonts w:ascii="Times New Roman" w:hAnsi="Times New Roman"/>
          <w:color w:val="auto"/>
          <w:highlight w:val="none"/>
        </w:rPr>
        <w:t>书面撤回通知之日起5日内退还已收取的投标保证金。</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4.3.</w:t>
      </w:r>
      <w:bookmarkStart w:id="140" w:name="_Toc300834974"/>
      <w:bookmarkStart w:id="141" w:name="_Toc19203"/>
      <w:bookmarkStart w:id="142" w:name="_Toc369531541"/>
      <w:bookmarkStart w:id="143" w:name="_Toc352691497"/>
      <w:bookmarkStart w:id="144" w:name="_Toc247527578"/>
      <w:bookmarkStart w:id="145" w:name="_Toc361508610"/>
      <w:bookmarkStart w:id="146" w:name="_Toc384308235"/>
      <w:bookmarkStart w:id="147" w:name="_Toc247513977"/>
      <w:bookmarkStart w:id="148" w:name="_Toc144974521"/>
      <w:bookmarkStart w:id="149" w:name="_Toc152042329"/>
      <w:bookmarkStart w:id="150" w:name="_Toc152045553"/>
      <w:r>
        <w:rPr>
          <w:rFonts w:ascii="Times New Roman" w:hAnsi="Times New Roman"/>
          <w:color w:val="auto"/>
          <w:highlight w:val="none"/>
        </w:rPr>
        <w:t>4 修改的内容为</w:t>
      </w:r>
      <w:bookmarkEnd w:id="140"/>
      <w:bookmarkEnd w:id="141"/>
      <w:bookmarkEnd w:id="142"/>
      <w:bookmarkEnd w:id="143"/>
      <w:bookmarkEnd w:id="144"/>
      <w:bookmarkEnd w:id="145"/>
      <w:bookmarkEnd w:id="146"/>
      <w:bookmarkEnd w:id="147"/>
      <w:bookmarkEnd w:id="148"/>
      <w:bookmarkEnd w:id="149"/>
      <w:bookmarkEnd w:id="150"/>
      <w:r>
        <w:rPr>
          <w:rFonts w:hint="eastAsia" w:ascii="Times New Roman" w:hAnsi="Times New Roman"/>
          <w:color w:val="auto"/>
          <w:highlight w:val="none"/>
          <w:lang w:eastAsia="zh-CN"/>
        </w:rPr>
        <w:t>响应文件</w:t>
      </w:r>
      <w:r>
        <w:rPr>
          <w:rFonts w:ascii="Times New Roman" w:hAnsi="Times New Roman"/>
          <w:color w:val="auto"/>
          <w:highlight w:val="none"/>
        </w:rPr>
        <w:t>的组成部分。修改的</w:t>
      </w:r>
      <w:r>
        <w:rPr>
          <w:rFonts w:hint="eastAsia" w:ascii="Times New Roman" w:hAnsi="Times New Roman"/>
          <w:color w:val="auto"/>
          <w:highlight w:val="none"/>
          <w:lang w:eastAsia="zh-CN"/>
        </w:rPr>
        <w:t>响应文件</w:t>
      </w:r>
      <w:r>
        <w:rPr>
          <w:rFonts w:ascii="Times New Roman" w:hAnsi="Times New Roman"/>
          <w:color w:val="auto"/>
          <w:highlight w:val="none"/>
        </w:rPr>
        <w:t>应按照本章第3条、第4条的规定进行编制、密封、标记和递交，并标明“修改”字样。</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151" w:name="_Toc9051"/>
      <w:bookmarkStart w:id="152" w:name="_Toc501460680"/>
      <w:r>
        <w:rPr>
          <w:rFonts w:ascii="Times New Roman" w:hAnsi="Times New Roman"/>
          <w:color w:val="auto"/>
          <w:highlight w:val="none"/>
        </w:rPr>
        <w:t xml:space="preserve">5. </w:t>
      </w:r>
      <w:r>
        <w:rPr>
          <w:rFonts w:hint="eastAsia" w:ascii="Times New Roman" w:hAnsi="Times New Roman"/>
          <w:color w:val="auto"/>
          <w:highlight w:val="none"/>
        </w:rPr>
        <w:t>开启响应文件</w:t>
      </w:r>
      <w:bookmarkEnd w:id="151"/>
      <w:bookmarkEnd w:id="152"/>
    </w:p>
    <w:p>
      <w:pPr>
        <w:pStyle w:val="2"/>
        <w:spacing w:line="240" w:lineRule="auto"/>
        <w:ind w:firstLine="137"/>
        <w:rPr>
          <w:rFonts w:hint="eastAsia" w:ascii="Times New Roman" w:hAnsi="Times New Roman" w:eastAsia="黑体"/>
          <w:color w:val="auto"/>
          <w:highlight w:val="none"/>
          <w:lang w:eastAsia="zh-CN"/>
        </w:rPr>
      </w:pPr>
      <w:bookmarkStart w:id="153" w:name="_Toc30578"/>
      <w:bookmarkStart w:id="154" w:name="_Toc501460683"/>
      <w:r>
        <w:rPr>
          <w:rFonts w:ascii="Times New Roman" w:hAnsi="Times New Roman"/>
          <w:color w:val="auto"/>
          <w:highlight w:val="none"/>
        </w:rPr>
        <w:t xml:space="preserve">5.1 </w:t>
      </w:r>
      <w:r>
        <w:rPr>
          <w:rFonts w:hint="eastAsia" w:ascii="Times New Roman" w:hAnsi="Times New Roman"/>
          <w:color w:val="auto"/>
          <w:highlight w:val="none"/>
        </w:rPr>
        <w:t>开启响应文件的</w:t>
      </w:r>
      <w:r>
        <w:rPr>
          <w:rFonts w:ascii="Times New Roman" w:hAnsi="Times New Roman"/>
          <w:color w:val="auto"/>
          <w:highlight w:val="none"/>
        </w:rPr>
        <w:t>时间和地点</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A</w:t>
      </w:r>
      <w:r>
        <w:rPr>
          <w:rFonts w:hint="eastAsia" w:ascii="Times New Roman" w:hAnsi="Times New Roman"/>
          <w:color w:val="auto"/>
          <w:highlight w:val="none"/>
          <w:lang w:eastAsia="zh-CN"/>
        </w:rPr>
        <w:t>）</w:t>
      </w:r>
      <w:bookmarkEnd w:id="15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在本章第4.2.1项规定的</w:t>
      </w:r>
      <w:r>
        <w:rPr>
          <w:rFonts w:hint="eastAsia" w:ascii="Times New Roman" w:hAnsi="Times New Roman"/>
          <w:color w:val="auto"/>
          <w:highlight w:val="none"/>
        </w:rPr>
        <w:t>递交响应文件的截止时间</w:t>
      </w:r>
      <w:r>
        <w:rPr>
          <w:rFonts w:ascii="Times New Roman" w:hAnsi="Times New Roman"/>
          <w:color w:val="auto"/>
          <w:highlight w:val="none"/>
        </w:rPr>
        <w:t>和地点公开</w:t>
      </w:r>
      <w:r>
        <w:rPr>
          <w:rFonts w:hint="eastAsia" w:ascii="Times New Roman" w:hAnsi="Times New Roman"/>
          <w:color w:val="auto"/>
          <w:highlight w:val="none"/>
        </w:rPr>
        <w:t>开启响应文件</w:t>
      </w:r>
      <w:r>
        <w:rPr>
          <w:rFonts w:ascii="Times New Roman" w:hAnsi="Times New Roman"/>
          <w:color w:val="auto"/>
          <w:highlight w:val="none"/>
        </w:rPr>
        <w:t>，</w:t>
      </w:r>
      <w:r>
        <w:rPr>
          <w:rFonts w:hint="eastAsia" w:ascii="Times New Roman" w:hAnsi="Times New Roman"/>
          <w:color w:val="auto"/>
          <w:highlight w:val="none"/>
        </w:rPr>
        <w:t>供应商</w:t>
      </w:r>
      <w:r>
        <w:rPr>
          <w:rFonts w:hint="eastAsia" w:ascii="Times New Roman" w:hAnsi="Times New Roman"/>
          <w:color w:val="auto"/>
          <w:highlight w:val="none"/>
          <w:lang w:eastAsia="zh-CN"/>
        </w:rPr>
        <w:t>可派</w:t>
      </w:r>
      <w:r>
        <w:rPr>
          <w:rFonts w:hint="eastAsia" w:ascii="Times New Roman" w:hAnsi="Times New Roman"/>
          <w:color w:val="auto"/>
          <w:highlight w:val="none"/>
        </w:rPr>
        <w:t>代表</w:t>
      </w:r>
      <w:r>
        <w:rPr>
          <w:rFonts w:hint="eastAsia" w:ascii="Times New Roman" w:hAnsi="Times New Roman"/>
          <w:color w:val="auto"/>
          <w:highlight w:val="none"/>
          <w:lang w:eastAsia="zh-CN"/>
        </w:rPr>
        <w:t>现场</w:t>
      </w:r>
      <w:r>
        <w:rPr>
          <w:rFonts w:hint="eastAsia" w:ascii="Times New Roman" w:hAnsi="Times New Roman"/>
          <w:color w:val="auto"/>
          <w:highlight w:val="none"/>
        </w:rPr>
        <w:t>参加</w:t>
      </w:r>
      <w:r>
        <w:rPr>
          <w:rFonts w:hint="eastAsia" w:ascii="Times New Roman" w:hAnsi="Times New Roman"/>
          <w:color w:val="auto"/>
          <w:highlight w:val="none"/>
          <w:lang w:eastAsia="zh-CN"/>
        </w:rPr>
        <w:t>开启会议，</w:t>
      </w:r>
      <w:r>
        <w:rPr>
          <w:rFonts w:hint="eastAsia" w:ascii="Times New Roman" w:hAnsi="Times New Roman"/>
          <w:color w:val="auto"/>
          <w:highlight w:val="none"/>
        </w:rPr>
        <w:t>未派代表参加的，视为默认开启结果。</w:t>
      </w:r>
    </w:p>
    <w:p>
      <w:pPr>
        <w:pStyle w:val="2"/>
        <w:spacing w:line="240" w:lineRule="auto"/>
        <w:ind w:firstLine="137"/>
        <w:rPr>
          <w:rFonts w:ascii="Times New Roman" w:hAnsi="Times New Roman"/>
          <w:color w:val="auto"/>
          <w:highlight w:val="none"/>
        </w:rPr>
      </w:pPr>
      <w:bookmarkStart w:id="155" w:name="_Toc8349"/>
      <w:r>
        <w:rPr>
          <w:rFonts w:ascii="Times New Roman" w:hAnsi="Times New Roman"/>
          <w:color w:val="auto"/>
          <w:highlight w:val="none"/>
        </w:rPr>
        <w:t xml:space="preserve">5.2 </w:t>
      </w:r>
      <w:r>
        <w:rPr>
          <w:rFonts w:hint="eastAsia" w:ascii="Times New Roman" w:hAnsi="Times New Roman"/>
          <w:color w:val="auto"/>
          <w:highlight w:val="none"/>
        </w:rPr>
        <w:t>开启</w:t>
      </w:r>
      <w:r>
        <w:rPr>
          <w:rFonts w:ascii="Times New Roman" w:hAnsi="Times New Roman"/>
          <w:color w:val="auto"/>
          <w:highlight w:val="none"/>
        </w:rPr>
        <w:t>程序</w:t>
      </w:r>
      <w:bookmarkEnd w:id="154"/>
      <w:bookmarkEnd w:id="15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主持人按下列程序</w:t>
      </w:r>
      <w:r>
        <w:rPr>
          <w:rFonts w:hint="eastAsia" w:ascii="Times New Roman" w:hAnsi="Times New Roman"/>
          <w:color w:val="auto"/>
          <w:highlight w:val="none"/>
        </w:rPr>
        <w:t>公开开启响应文件</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宣布</w:t>
      </w:r>
      <w:r>
        <w:rPr>
          <w:rFonts w:hint="eastAsia" w:ascii="Times New Roman" w:hAnsi="Times New Roman"/>
          <w:color w:val="auto"/>
          <w:highlight w:val="none"/>
        </w:rPr>
        <w:t>开启会议</w:t>
      </w:r>
      <w:r>
        <w:rPr>
          <w:rFonts w:ascii="Times New Roman" w:hAnsi="Times New Roman"/>
          <w:color w:val="auto"/>
          <w:highlight w:val="none"/>
        </w:rPr>
        <w:t>纪律；</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（2）宣布参加开启会议的工作人员姓名；</w:t>
      </w:r>
    </w:p>
    <w:p>
      <w:pPr>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（3）（A）供应商代表检查确认响应文件的密封情况</w:t>
      </w:r>
      <w:r>
        <w:rPr>
          <w:rFonts w:hint="eastAsia" w:ascii="Times New Roman" w:hAnsi="Times New Roman"/>
          <w:color w:val="auto"/>
          <w:highlight w:val="none"/>
          <w:lang w:eastAsia="zh-CN"/>
        </w:rPr>
        <w:t>，</w:t>
      </w:r>
      <w:r>
        <w:rPr>
          <w:rFonts w:ascii="Times New Roman" w:hAnsi="Times New Roman"/>
          <w:color w:val="auto"/>
          <w:highlight w:val="none"/>
        </w:rPr>
        <w:t>按照</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开启</w:t>
      </w:r>
      <w:r>
        <w:rPr>
          <w:rFonts w:ascii="Times New Roman" w:hAnsi="Times New Roman"/>
          <w:color w:val="auto"/>
          <w:highlight w:val="none"/>
        </w:rPr>
        <w:t>顺序</w:t>
      </w:r>
      <w:r>
        <w:rPr>
          <w:rFonts w:hint="eastAsia" w:ascii="Times New Roman" w:hAnsi="Times New Roman"/>
          <w:color w:val="auto"/>
          <w:highlight w:val="none"/>
        </w:rPr>
        <w:t>开启响应文件</w:t>
      </w:r>
      <w:r>
        <w:rPr>
          <w:rFonts w:ascii="Times New Roman" w:hAnsi="Times New Roman"/>
          <w:color w:val="auto"/>
          <w:highlight w:val="none"/>
        </w:rPr>
        <w:t>，公布</w:t>
      </w:r>
      <w:r>
        <w:rPr>
          <w:rFonts w:hint="eastAsia" w:ascii="Times New Roman" w:hAnsi="Times New Roman"/>
          <w:color w:val="auto"/>
          <w:highlight w:val="none"/>
        </w:rPr>
        <w:t>递交响应文件的供应商</w:t>
      </w:r>
      <w:r>
        <w:rPr>
          <w:rFonts w:ascii="Times New Roman" w:hAnsi="Times New Roman"/>
          <w:color w:val="auto"/>
          <w:highlight w:val="none"/>
        </w:rPr>
        <w:t>名称</w:t>
      </w:r>
      <w:r>
        <w:rPr>
          <w:rFonts w:hint="eastAsia" w:ascii="Times New Roman" w:hAnsi="Times New Roman"/>
          <w:color w:val="auto"/>
          <w:highlight w:val="none"/>
        </w:rPr>
        <w:t>、</w:t>
      </w:r>
      <w:r>
        <w:rPr>
          <w:rFonts w:ascii="Times New Roman" w:hAnsi="Times New Roman"/>
          <w:color w:val="auto"/>
          <w:highlight w:val="none"/>
        </w:rPr>
        <w:t>响应报价</w:t>
      </w:r>
      <w:r>
        <w:rPr>
          <w:rFonts w:hint="eastAsia" w:ascii="Times New Roman" w:hAnsi="Times New Roman"/>
          <w:color w:val="auto"/>
          <w:highlight w:val="none"/>
        </w:rPr>
        <w:t>及</w:t>
      </w:r>
      <w:r>
        <w:rPr>
          <w:rFonts w:hint="eastAsia" w:ascii="黑体" w:hAnsi="黑体" w:eastAsia="黑体" w:cs="黑体"/>
          <w:iCs/>
          <w:color w:val="auto"/>
          <w:highlight w:val="none"/>
        </w:rPr>
        <w:t>供应商须知前附表</w:t>
      </w:r>
      <w:r>
        <w:rPr>
          <w:rFonts w:ascii="Times New Roman" w:hAnsi="Times New Roman"/>
          <w:color w:val="auto"/>
          <w:highlight w:val="none"/>
        </w:rPr>
        <w:t>规定的</w:t>
      </w:r>
      <w:r>
        <w:rPr>
          <w:rFonts w:hint="eastAsia" w:ascii="Times New Roman" w:hAnsi="Times New Roman"/>
          <w:color w:val="auto"/>
          <w:highlight w:val="none"/>
        </w:rPr>
        <w:t>其他应公布的信息，并记录在案；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rPr>
        <w:t>）开启会议结束。</w:t>
      </w:r>
    </w:p>
    <w:p>
      <w:pPr>
        <w:pStyle w:val="2"/>
        <w:spacing w:line="240" w:lineRule="auto"/>
        <w:ind w:firstLine="137"/>
        <w:rPr>
          <w:rFonts w:ascii="Times New Roman" w:hAnsi="Times New Roman"/>
          <w:color w:val="auto"/>
          <w:highlight w:val="none"/>
        </w:rPr>
      </w:pPr>
      <w:bookmarkStart w:id="156" w:name="_Toc4506"/>
      <w:r>
        <w:rPr>
          <w:rFonts w:ascii="Times New Roman" w:hAnsi="Times New Roman"/>
          <w:color w:val="auto"/>
          <w:highlight w:val="none"/>
        </w:rPr>
        <w:t>5.</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递交响应文件的供应商不足的情形</w:t>
      </w:r>
      <w:bookmarkEnd w:id="156"/>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采购项目选择一家成交供应商时，递交响应文件的供应商数量不足三家的，或采购项目选择多家成交供应商时，递交响应文件的供应商数量少于</w:t>
      </w:r>
      <w:r>
        <w:rPr>
          <w:rFonts w:hint="eastAsia" w:ascii="Times New Roman" w:hAnsi="Times New Roman"/>
          <w:b/>
          <w:color w:val="auto"/>
          <w:highlight w:val="none"/>
        </w:rPr>
        <w:t>供应商须知前附表</w:t>
      </w:r>
      <w:r>
        <w:rPr>
          <w:rFonts w:hint="eastAsia" w:ascii="Times New Roman" w:hAnsi="Times New Roman"/>
          <w:color w:val="auto"/>
          <w:highlight w:val="none"/>
        </w:rPr>
        <w:t>规定数量的，采购人可按照下述情形分别处理：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（1）终止询比并重新组织采购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采购项目存在影响公平竞争情形的，采购人应当终止询比采购，并根据不同情形和原因，采取相应纠正措施，重新组织采购。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采购项目不存在影响公平竞争情形的，采购人也可以选择终止询比采购，采取相应完善措施，重新组织采购。</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（2）继续询比采购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采购项目不存在应该终止询比情形</w:t>
      </w:r>
      <w:r>
        <w:rPr>
          <w:rFonts w:hint="eastAsia" w:ascii="Times New Roman" w:hAnsi="Times New Roman"/>
          <w:color w:val="auto"/>
          <w:highlight w:val="none"/>
        </w:rPr>
        <w:t>，</w:t>
      </w:r>
      <w:r>
        <w:rPr>
          <w:rFonts w:ascii="Times New Roman" w:hAnsi="Times New Roman"/>
          <w:color w:val="auto"/>
          <w:highlight w:val="none"/>
        </w:rPr>
        <w:t>且采购人也没有自行选择终止询比采购的</w:t>
      </w:r>
      <w:r>
        <w:rPr>
          <w:rFonts w:hint="eastAsia" w:ascii="Times New Roman" w:hAnsi="Times New Roman"/>
          <w:color w:val="auto"/>
          <w:highlight w:val="none"/>
        </w:rPr>
        <w:t>，</w:t>
      </w:r>
      <w:r>
        <w:rPr>
          <w:rFonts w:ascii="Times New Roman" w:hAnsi="Times New Roman"/>
          <w:color w:val="auto"/>
          <w:highlight w:val="none"/>
        </w:rPr>
        <w:t>采购人应按照本章第</w:t>
      </w:r>
      <w:r>
        <w:rPr>
          <w:rFonts w:hint="eastAsia" w:ascii="Times New Roman" w:hAnsi="Times New Roman"/>
          <w:color w:val="auto"/>
          <w:highlight w:val="none"/>
        </w:rPr>
        <w:t>5.2款规定的程序继续开启响应文件，并按第三章“评审办法”规定的规则组织响应文件评审，完成询比采购后续程序。</w:t>
      </w:r>
    </w:p>
    <w:p>
      <w:pPr>
        <w:pStyle w:val="4"/>
        <w:rPr>
          <w:rFonts w:ascii="Times New Roman" w:hAnsi="Times New Roman"/>
          <w:color w:val="auto"/>
          <w:highlight w:val="none"/>
        </w:rPr>
      </w:pPr>
      <w:bookmarkStart w:id="157" w:name="_Toc501460685"/>
      <w:bookmarkStart w:id="158" w:name="_Toc298"/>
      <w:r>
        <w:rPr>
          <w:rFonts w:ascii="Times New Roman" w:hAnsi="Times New Roman"/>
          <w:color w:val="auto"/>
          <w:highlight w:val="none"/>
        </w:rPr>
        <w:t>6.</w:t>
      </w:r>
      <w:bookmarkEnd w:id="157"/>
      <w:r>
        <w:rPr>
          <w:rFonts w:hint="eastAsia" w:ascii="Times New Roman" w:hAnsi="Times New Roman"/>
          <w:color w:val="auto"/>
          <w:highlight w:val="none"/>
        </w:rPr>
        <w:t>评审</w:t>
      </w:r>
      <w:bookmarkEnd w:id="158"/>
    </w:p>
    <w:p>
      <w:pPr>
        <w:pStyle w:val="2"/>
        <w:spacing w:line="240" w:lineRule="auto"/>
        <w:ind w:firstLine="137"/>
        <w:rPr>
          <w:rFonts w:ascii="Times New Roman" w:hAnsi="Times New Roman"/>
          <w:color w:val="auto"/>
          <w:highlight w:val="none"/>
        </w:rPr>
      </w:pPr>
      <w:bookmarkStart w:id="159" w:name="_Toc501460686"/>
      <w:bookmarkStart w:id="160" w:name="_Toc4114"/>
      <w:r>
        <w:rPr>
          <w:rFonts w:ascii="Times New Roman" w:hAnsi="Times New Roman"/>
          <w:color w:val="auto"/>
          <w:highlight w:val="none"/>
        </w:rPr>
        <w:t xml:space="preserve">6.1 </w:t>
      </w:r>
      <w:bookmarkEnd w:id="159"/>
      <w:r>
        <w:rPr>
          <w:rFonts w:hint="eastAsia" w:ascii="Times New Roman" w:hAnsi="Times New Roman"/>
          <w:color w:val="auto"/>
          <w:highlight w:val="none"/>
        </w:rPr>
        <w:t>评审小组</w:t>
      </w:r>
      <w:bookmarkEnd w:id="16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6.1.1 </w:t>
      </w:r>
      <w:r>
        <w:rPr>
          <w:rFonts w:hint="eastAsia" w:ascii="Times New Roman" w:hAnsi="Times New Roman"/>
          <w:color w:val="auto"/>
          <w:highlight w:val="none"/>
        </w:rPr>
        <w:t>评审由采购人组建的评审小组负责。</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6.1.2 </w:t>
      </w:r>
      <w:r>
        <w:rPr>
          <w:rFonts w:hint="eastAsia" w:ascii="Times New Roman" w:hAnsi="Times New Roman"/>
          <w:color w:val="auto"/>
          <w:highlight w:val="none"/>
        </w:rPr>
        <w:t>评审小组</w:t>
      </w:r>
      <w:r>
        <w:rPr>
          <w:rFonts w:ascii="Times New Roman" w:hAnsi="Times New Roman"/>
          <w:color w:val="auto"/>
          <w:highlight w:val="none"/>
        </w:rPr>
        <w:t>成员有下列情形之一的，应当回避：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供应商</w:t>
      </w:r>
      <w:r>
        <w:rPr>
          <w:rFonts w:ascii="Times New Roman" w:hAnsi="Times New Roman"/>
          <w:color w:val="auto"/>
          <w:highlight w:val="none"/>
        </w:rPr>
        <w:t>主要负责人或</w:t>
      </w:r>
      <w:r>
        <w:rPr>
          <w:rFonts w:hint="eastAsia" w:ascii="Times New Roman" w:hAnsi="Times New Roman"/>
          <w:color w:val="auto"/>
          <w:highlight w:val="none"/>
        </w:rPr>
        <w:t>供应商</w:t>
      </w:r>
      <w:r>
        <w:rPr>
          <w:rFonts w:ascii="Times New Roman" w:hAnsi="Times New Roman"/>
          <w:color w:val="auto"/>
          <w:highlight w:val="none"/>
        </w:rPr>
        <w:t>主要负责人的近亲属；</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）与</w:t>
      </w:r>
      <w:r>
        <w:rPr>
          <w:rFonts w:hint="eastAsia" w:ascii="Times New Roman" w:hAnsi="Times New Roman"/>
          <w:color w:val="auto"/>
          <w:highlight w:val="none"/>
        </w:rPr>
        <w:t>供应商</w:t>
      </w:r>
      <w:r>
        <w:rPr>
          <w:rFonts w:ascii="Times New Roman" w:hAnsi="Times New Roman"/>
          <w:color w:val="auto"/>
          <w:highlight w:val="none"/>
        </w:rPr>
        <w:t>有经济利益关系</w:t>
      </w:r>
      <w:r>
        <w:rPr>
          <w:rFonts w:hint="eastAsia" w:ascii="Times New Roman" w:hAnsi="Times New Roman"/>
          <w:color w:val="auto"/>
          <w:highlight w:val="none"/>
        </w:rPr>
        <w:t>或</w:t>
      </w:r>
      <w:r>
        <w:rPr>
          <w:rFonts w:ascii="Times New Roman" w:hAnsi="Times New Roman"/>
          <w:color w:val="auto"/>
          <w:highlight w:val="none"/>
        </w:rPr>
        <w:t>其他利害关系，可能影响公正评审的</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6.1.3 评审小组组建后，评审小组成员共同推选或由采购人指定评审小组组长，评审小组组长负责组织评审工作。</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6.1.4 在评审过程中，评审小组成员对需要共同认定的事项存在争议的，将按照少数服从多数的原则作出结论。持不同意见的评审小组成员应当在评审报告上签署不同意见及理由，否则视为同意评审报告。</w:t>
      </w:r>
    </w:p>
    <w:p>
      <w:pPr>
        <w:pStyle w:val="2"/>
        <w:spacing w:line="240" w:lineRule="auto"/>
        <w:ind w:firstLine="137"/>
        <w:rPr>
          <w:rFonts w:ascii="Times New Roman" w:hAnsi="Times New Roman"/>
          <w:color w:val="auto"/>
          <w:highlight w:val="none"/>
        </w:rPr>
      </w:pPr>
      <w:bookmarkStart w:id="161" w:name="_Toc501460687"/>
      <w:bookmarkStart w:id="162" w:name="_Toc6910"/>
      <w:r>
        <w:rPr>
          <w:rFonts w:ascii="Times New Roman" w:hAnsi="Times New Roman"/>
          <w:color w:val="auto"/>
          <w:highlight w:val="none"/>
        </w:rPr>
        <w:t>6.2</w:t>
      </w:r>
      <w:r>
        <w:rPr>
          <w:rFonts w:hint="eastAsia" w:ascii="Times New Roman" w:hAnsi="Times New Roman"/>
          <w:color w:val="auto"/>
          <w:highlight w:val="none"/>
        </w:rPr>
        <w:t>评审</w:t>
      </w:r>
      <w:bookmarkEnd w:id="161"/>
      <w:bookmarkEnd w:id="16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评审小组按照第三章“评审办法”规定的评审标准和程序对响应文件进行评审和比较。</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6.2.2 评审完成后，评审小组应当向采购人提交书面评审报告和候选成交供应商名单。评审小组推荐候选成交供应商的排序要求及数量见</w:t>
      </w:r>
      <w:r>
        <w:rPr>
          <w:rFonts w:hint="eastAsia" w:ascii="Times New Roman" w:hAnsi="Times New Roman"/>
          <w:b/>
          <w:color w:val="auto"/>
          <w:highlight w:val="none"/>
        </w:rPr>
        <w:t>供应商须知前附表</w:t>
      </w:r>
      <w:r>
        <w:rPr>
          <w:rFonts w:hint="eastAsia" w:ascii="Times New Roman" w:hAnsi="Times New Roman"/>
          <w:color w:val="auto"/>
          <w:highlight w:val="none"/>
        </w:rPr>
        <w:t>。</w:t>
      </w:r>
    </w:p>
    <w:p>
      <w:pPr>
        <w:pStyle w:val="4"/>
        <w:rPr>
          <w:rFonts w:ascii="Times New Roman" w:hAnsi="Times New Roman"/>
          <w:color w:val="auto"/>
          <w:highlight w:val="none"/>
        </w:rPr>
      </w:pPr>
      <w:bookmarkStart w:id="163" w:name="_Toc501460689"/>
      <w:bookmarkStart w:id="164" w:name="_Toc8702"/>
      <w:r>
        <w:rPr>
          <w:rFonts w:ascii="Times New Roman" w:hAnsi="Times New Roman"/>
          <w:color w:val="auto"/>
          <w:highlight w:val="none"/>
        </w:rPr>
        <w:t>7. 合同授予</w:t>
      </w:r>
      <w:bookmarkEnd w:id="163"/>
      <w:bookmarkEnd w:id="164"/>
    </w:p>
    <w:p>
      <w:pPr>
        <w:pStyle w:val="2"/>
        <w:spacing w:line="240" w:lineRule="auto"/>
        <w:ind w:firstLine="137"/>
        <w:rPr>
          <w:rFonts w:ascii="Times New Roman" w:hAnsi="Times New Roman"/>
          <w:color w:val="auto"/>
          <w:highlight w:val="none"/>
        </w:rPr>
      </w:pPr>
      <w:bookmarkStart w:id="165" w:name="_Toc501460692"/>
      <w:bookmarkStart w:id="166" w:name="_Toc27043"/>
      <w:bookmarkStart w:id="167" w:name="_Toc501460690"/>
      <w:r>
        <w:rPr>
          <w:rFonts w:ascii="Times New Roman" w:hAnsi="Times New Roman"/>
          <w:color w:val="auto"/>
          <w:highlight w:val="none"/>
        </w:rPr>
        <w:t>7.</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候选成交供应商</w:t>
      </w:r>
      <w:r>
        <w:rPr>
          <w:rFonts w:ascii="Times New Roman" w:hAnsi="Times New Roman"/>
          <w:color w:val="auto"/>
          <w:highlight w:val="none"/>
        </w:rPr>
        <w:t>履约能力</w:t>
      </w:r>
      <w:bookmarkEnd w:id="165"/>
      <w:r>
        <w:rPr>
          <w:rFonts w:hint="eastAsia" w:ascii="Times New Roman" w:hAnsi="Times New Roman"/>
          <w:color w:val="auto"/>
          <w:highlight w:val="none"/>
        </w:rPr>
        <w:t>核查</w:t>
      </w:r>
      <w:bookmarkEnd w:id="166"/>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pPr>
        <w:pStyle w:val="2"/>
        <w:spacing w:line="240" w:lineRule="auto"/>
        <w:ind w:firstLine="137"/>
        <w:rPr>
          <w:rFonts w:ascii="Times New Roman" w:hAnsi="Times New Roman"/>
          <w:color w:val="auto"/>
          <w:highlight w:val="none"/>
        </w:rPr>
      </w:pPr>
      <w:bookmarkStart w:id="168" w:name="_Toc16633"/>
      <w:r>
        <w:rPr>
          <w:rFonts w:hint="eastAsia" w:ascii="Times New Roman" w:hAnsi="Times New Roman"/>
          <w:color w:val="auto"/>
          <w:highlight w:val="none"/>
        </w:rPr>
        <w:t xml:space="preserve">7.2 </w:t>
      </w:r>
      <w:r>
        <w:rPr>
          <w:rFonts w:ascii="Times New Roman" w:hAnsi="Times New Roman"/>
          <w:color w:val="auto"/>
          <w:highlight w:val="none"/>
        </w:rPr>
        <w:t>确定</w:t>
      </w:r>
      <w:r>
        <w:rPr>
          <w:rFonts w:hint="eastAsia" w:ascii="Times New Roman" w:hAnsi="Times New Roman"/>
          <w:color w:val="auto"/>
          <w:highlight w:val="none"/>
        </w:rPr>
        <w:t>预</w:t>
      </w:r>
      <w:r>
        <w:rPr>
          <w:rFonts w:ascii="Times New Roman" w:hAnsi="Times New Roman"/>
          <w:color w:val="auto"/>
          <w:highlight w:val="none"/>
        </w:rPr>
        <w:t>成交供应商</w:t>
      </w:r>
      <w:bookmarkEnd w:id="16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采购人将根据评审报告及核查结果（如有），对候选成交供应商综合评估后从中选择确定预成交供应商。</w:t>
      </w:r>
    </w:p>
    <w:p>
      <w:pPr>
        <w:pStyle w:val="2"/>
        <w:spacing w:line="240" w:lineRule="auto"/>
        <w:ind w:firstLine="137"/>
        <w:rPr>
          <w:rFonts w:ascii="Times New Roman" w:hAnsi="Times New Roman"/>
          <w:color w:val="auto"/>
          <w:highlight w:val="none"/>
        </w:rPr>
      </w:pPr>
      <w:bookmarkStart w:id="169" w:name="_Toc9108"/>
      <w:r>
        <w:rPr>
          <w:rFonts w:ascii="Times New Roman" w:hAnsi="Times New Roman"/>
          <w:color w:val="auto"/>
          <w:highlight w:val="none"/>
        </w:rPr>
        <w:t>7.</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预成交结果</w:t>
      </w:r>
      <w:r>
        <w:rPr>
          <w:rFonts w:ascii="Times New Roman" w:hAnsi="Times New Roman"/>
          <w:color w:val="auto"/>
          <w:highlight w:val="none"/>
        </w:rPr>
        <w:t>公示</w:t>
      </w:r>
      <w:bookmarkEnd w:id="167"/>
      <w:bookmarkEnd w:id="169"/>
    </w:p>
    <w:p>
      <w:pPr>
        <w:spacing w:line="400" w:lineRule="exact"/>
        <w:ind w:firstLine="420" w:firstLineChars="200"/>
        <w:rPr>
          <w:rFonts w:ascii="Times New Roman" w:hAnsi="Times New Roman"/>
          <w:iCs/>
          <w:color w:val="auto"/>
          <w:highlight w:val="none"/>
        </w:rPr>
      </w:pPr>
      <w:r>
        <w:rPr>
          <w:rFonts w:hint="eastAsia" w:ascii="Times New Roman" w:hAnsi="Times New Roman"/>
          <w:color w:val="auto"/>
          <w:highlight w:val="none"/>
        </w:rPr>
        <w:t>预成交供应商选定后，</w:t>
      </w:r>
      <w:r>
        <w:rPr>
          <w:rFonts w:hint="eastAsia" w:ascii="Times New Roman" w:hAnsi="Times New Roman"/>
          <w:iCs/>
          <w:color w:val="auto"/>
          <w:highlight w:val="none"/>
        </w:rPr>
        <w:t>采购人将按照</w:t>
      </w:r>
      <w:r>
        <w:rPr>
          <w:rFonts w:hint="eastAsia" w:ascii="黑体" w:hAnsi="黑体" w:eastAsia="黑体" w:cs="黑体"/>
          <w:iCs/>
          <w:color w:val="auto"/>
          <w:highlight w:val="none"/>
        </w:rPr>
        <w:t>供应商须知前附表规定的</w:t>
      </w:r>
      <w:r>
        <w:rPr>
          <w:rFonts w:hint="eastAsia" w:ascii="Times New Roman" w:hAnsi="Times New Roman"/>
          <w:color w:val="auto"/>
          <w:highlight w:val="none"/>
        </w:rPr>
        <w:t>公示媒介和公示期限</w:t>
      </w:r>
      <w:r>
        <w:rPr>
          <w:rFonts w:hint="eastAsia" w:ascii="Times New Roman" w:hAnsi="Times New Roman"/>
          <w:iCs/>
          <w:color w:val="auto"/>
          <w:highlight w:val="none"/>
        </w:rPr>
        <w:t>进行公示，公示信息包括如下内容：</w:t>
      </w:r>
    </w:p>
    <w:p>
      <w:pPr>
        <w:spacing w:line="400" w:lineRule="exact"/>
        <w:ind w:firstLine="420" w:firstLineChars="200"/>
        <w:rPr>
          <w:rFonts w:ascii="Times New Roman" w:hAnsi="Times New Roman"/>
          <w:color w:val="auto"/>
          <w:highlight w:val="none"/>
        </w:rPr>
      </w:pPr>
      <w:r>
        <w:rPr>
          <w:rFonts w:hint="eastAsia" w:ascii="Times New Roman" w:hAnsi="Times New Roman"/>
          <w:iCs/>
          <w:color w:val="auto"/>
          <w:highlight w:val="none"/>
        </w:rPr>
        <w:t>（1）所有</w:t>
      </w:r>
      <w:r>
        <w:rPr>
          <w:rFonts w:hint="eastAsia" w:ascii="Times New Roman" w:hAnsi="Times New Roman"/>
          <w:color w:val="auto"/>
          <w:highlight w:val="none"/>
        </w:rPr>
        <w:t>候选成交供应商名称、响应价格及交货期；</w:t>
      </w:r>
    </w:p>
    <w:p>
      <w:pPr>
        <w:tabs>
          <w:tab w:val="left" w:pos="7471"/>
        </w:tabs>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（2）预成交供应商名称、预成交份额（如有）及选择原因；</w:t>
      </w:r>
      <w:r>
        <w:rPr>
          <w:rFonts w:hint="eastAsia" w:ascii="Times New Roman" w:hAnsi="Times New Roman"/>
          <w:color w:val="auto"/>
          <w:highlight w:val="none"/>
          <w:lang w:eastAsia="zh-CN"/>
        </w:rPr>
        <w:tab/>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hint="eastAsia" w:ascii="黑体" w:hAnsi="黑体" w:eastAsia="黑体" w:cs="黑体"/>
          <w:iCs/>
          <w:color w:val="auto"/>
          <w:highlight w:val="none"/>
        </w:rPr>
        <w:t>供应商须知前附表规定的其他内容。</w:t>
      </w:r>
    </w:p>
    <w:p>
      <w:pPr>
        <w:pStyle w:val="2"/>
        <w:spacing w:line="240" w:lineRule="auto"/>
        <w:ind w:firstLine="137"/>
        <w:rPr>
          <w:rFonts w:ascii="Times New Roman" w:hAnsi="Times New Roman"/>
          <w:color w:val="auto"/>
          <w:highlight w:val="none"/>
        </w:rPr>
      </w:pPr>
      <w:bookmarkStart w:id="170" w:name="_Toc501460694"/>
      <w:bookmarkStart w:id="171" w:name="_Toc10139"/>
      <w:r>
        <w:rPr>
          <w:rFonts w:ascii="Times New Roman" w:hAnsi="Times New Roman"/>
          <w:color w:val="auto"/>
          <w:highlight w:val="none"/>
        </w:rPr>
        <w:t>7.</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发出成交</w:t>
      </w:r>
      <w:r>
        <w:rPr>
          <w:rFonts w:ascii="Times New Roman" w:hAnsi="Times New Roman"/>
          <w:color w:val="auto"/>
          <w:highlight w:val="none"/>
        </w:rPr>
        <w:t>通知</w:t>
      </w:r>
      <w:bookmarkEnd w:id="170"/>
      <w:r>
        <w:rPr>
          <w:rFonts w:hint="eastAsia" w:ascii="Times New Roman" w:hAnsi="Times New Roman"/>
          <w:color w:val="auto"/>
          <w:highlight w:val="none"/>
        </w:rPr>
        <w:t>书</w:t>
      </w:r>
      <w:bookmarkEnd w:id="17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公示期结束后，</w:t>
      </w:r>
      <w:r>
        <w:rPr>
          <w:rFonts w:ascii="Times New Roman" w:hAnsi="Times New Roman"/>
          <w:color w:val="auto"/>
          <w:highlight w:val="none"/>
        </w:rPr>
        <w:t>在本章第3.3款规定的</w:t>
      </w:r>
      <w:r>
        <w:rPr>
          <w:rFonts w:hint="eastAsia" w:ascii="Times New Roman" w:hAnsi="Times New Roman"/>
          <w:color w:val="auto"/>
          <w:highlight w:val="none"/>
        </w:rPr>
        <w:t>响应文件有效期</w:t>
      </w:r>
      <w:r>
        <w:rPr>
          <w:rFonts w:ascii="Times New Roman" w:hAnsi="Times New Roman"/>
          <w:color w:val="auto"/>
          <w:highlight w:val="none"/>
        </w:rPr>
        <w:t>内，</w:t>
      </w:r>
      <w:r>
        <w:rPr>
          <w:rFonts w:hint="eastAsia" w:ascii="Times New Roman" w:hAnsi="Times New Roman"/>
          <w:color w:val="auto"/>
          <w:highlight w:val="none"/>
        </w:rPr>
        <w:t>采购人</w:t>
      </w:r>
      <w:r>
        <w:rPr>
          <w:rFonts w:ascii="Times New Roman" w:hAnsi="Times New Roman"/>
          <w:color w:val="auto"/>
          <w:highlight w:val="none"/>
        </w:rPr>
        <w:t>以书面形式向</w:t>
      </w:r>
      <w:r>
        <w:rPr>
          <w:rFonts w:hint="eastAsia" w:ascii="Times New Roman" w:hAnsi="Times New Roman"/>
          <w:color w:val="auto"/>
          <w:highlight w:val="none"/>
        </w:rPr>
        <w:t>预成交供应商</w:t>
      </w:r>
      <w:r>
        <w:rPr>
          <w:rFonts w:ascii="Times New Roman" w:hAnsi="Times New Roman"/>
          <w:color w:val="auto"/>
          <w:highlight w:val="none"/>
        </w:rPr>
        <w:t>发出</w:t>
      </w:r>
      <w:bookmarkStart w:id="172" w:name="_Toc300834983"/>
      <w:bookmarkStart w:id="173" w:name="_Toc384308244"/>
      <w:bookmarkStart w:id="174" w:name="_Toc5668"/>
      <w:bookmarkStart w:id="175" w:name="_Toc361508619"/>
      <w:bookmarkStart w:id="176" w:name="_Toc352691506"/>
      <w:bookmarkStart w:id="177" w:name="_Toc369531550"/>
      <w:r>
        <w:rPr>
          <w:rFonts w:hint="eastAsia" w:ascii="Times New Roman" w:hAnsi="Times New Roman"/>
          <w:color w:val="auto"/>
          <w:highlight w:val="none"/>
        </w:rPr>
        <w:t>成交</w:t>
      </w:r>
      <w:r>
        <w:rPr>
          <w:rFonts w:ascii="Times New Roman" w:hAnsi="Times New Roman"/>
          <w:color w:val="auto"/>
          <w:highlight w:val="none"/>
        </w:rPr>
        <w:t>通知书</w:t>
      </w:r>
      <w:bookmarkEnd w:id="172"/>
      <w:bookmarkEnd w:id="173"/>
      <w:bookmarkEnd w:id="174"/>
      <w:bookmarkEnd w:id="175"/>
      <w:bookmarkEnd w:id="176"/>
      <w:bookmarkEnd w:id="177"/>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78" w:name="_Toc9969"/>
      <w:r>
        <w:rPr>
          <w:rFonts w:ascii="Times New Roman" w:hAnsi="Times New Roman"/>
          <w:color w:val="auto"/>
          <w:highlight w:val="none"/>
        </w:rPr>
        <w:t>7.</w:t>
      </w:r>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发布成交公告</w:t>
      </w:r>
      <w:bookmarkEnd w:id="178"/>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在发出成交通知书的同时，采购人将在供应商须知前附表规定的公告媒介发布成交公告，公告信息包括成交供应商名称、响应价格及交货期、成交份额（如有）及供应商须知前附表规定的其他内容。</w:t>
      </w:r>
    </w:p>
    <w:p>
      <w:pPr>
        <w:pStyle w:val="2"/>
        <w:spacing w:line="240" w:lineRule="auto"/>
        <w:ind w:firstLine="137"/>
        <w:rPr>
          <w:rFonts w:ascii="Times New Roman" w:hAnsi="Times New Roman"/>
          <w:color w:val="auto"/>
          <w:highlight w:val="none"/>
        </w:rPr>
      </w:pPr>
      <w:bookmarkStart w:id="179" w:name="_Toc501460695"/>
      <w:bookmarkStart w:id="180" w:name="_Toc6621"/>
      <w:r>
        <w:rPr>
          <w:rFonts w:ascii="Times New Roman" w:hAnsi="Times New Roman"/>
          <w:color w:val="auto"/>
          <w:highlight w:val="none"/>
        </w:rPr>
        <w:t>7.</w:t>
      </w:r>
      <w:r>
        <w:rPr>
          <w:rFonts w:hint="eastAsia" w:ascii="Times New Roman" w:hAnsi="Times New Roman"/>
          <w:color w:val="auto"/>
          <w:highlight w:val="none"/>
        </w:rPr>
        <w:t>6</w:t>
      </w:r>
      <w:r>
        <w:rPr>
          <w:rFonts w:ascii="Times New Roman" w:hAnsi="Times New Roman"/>
          <w:color w:val="auto"/>
          <w:highlight w:val="none"/>
        </w:rPr>
        <w:t xml:space="preserve"> 履约保证金</w:t>
      </w:r>
      <w:bookmarkEnd w:id="179"/>
      <w:bookmarkEnd w:id="180"/>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供应商须知</w:t>
      </w:r>
      <w:r>
        <w:rPr>
          <w:rFonts w:hint="eastAsia" w:ascii="Times New Roman" w:hAnsi="Times New Roman"/>
          <w:color w:val="auto"/>
          <w:highlight w:val="none"/>
          <w:lang w:eastAsia="zh-CN"/>
        </w:rPr>
        <w:t>如</w:t>
      </w:r>
      <w:r>
        <w:rPr>
          <w:rFonts w:hint="eastAsia" w:ascii="Times New Roman" w:hAnsi="Times New Roman"/>
          <w:color w:val="auto"/>
          <w:highlight w:val="none"/>
        </w:rPr>
        <w:t>前附表规定递交履约保证金的，成交供应商</w:t>
      </w:r>
      <w:r>
        <w:rPr>
          <w:rFonts w:ascii="Times New Roman" w:hAnsi="Times New Roman"/>
          <w:color w:val="auto"/>
          <w:highlight w:val="none"/>
        </w:rPr>
        <w:t>应按</w:t>
      </w:r>
      <w:r>
        <w:rPr>
          <w:rFonts w:hint="eastAsia" w:ascii="黑体" w:hAnsi="黑体" w:eastAsia="黑体" w:cs="黑体"/>
          <w:iCs/>
          <w:color w:val="auto"/>
          <w:highlight w:val="none"/>
        </w:rPr>
        <w:t>供应商须知前附表</w:t>
      </w:r>
      <w:r>
        <w:rPr>
          <w:rFonts w:ascii="Times New Roman" w:hAnsi="Times New Roman"/>
          <w:color w:val="auto"/>
          <w:highlight w:val="none"/>
        </w:rPr>
        <w:t>规定的形式、</w:t>
      </w:r>
      <w:r>
        <w:rPr>
          <w:rFonts w:hint="eastAsia" w:ascii="Times New Roman" w:hAnsi="Times New Roman"/>
          <w:color w:val="auto"/>
          <w:highlight w:val="none"/>
        </w:rPr>
        <w:t>有效期限</w:t>
      </w:r>
      <w:r>
        <w:rPr>
          <w:rFonts w:ascii="Times New Roman" w:hAnsi="Times New Roman"/>
          <w:color w:val="auto"/>
          <w:highlight w:val="none"/>
        </w:rPr>
        <w:t>和</w:t>
      </w:r>
      <w:r>
        <w:rPr>
          <w:rFonts w:hint="eastAsia" w:ascii="Times New Roman" w:hAnsi="Times New Roman"/>
          <w:color w:val="auto"/>
          <w:highlight w:val="none"/>
        </w:rPr>
        <w:t>递交时间</w:t>
      </w:r>
      <w:r>
        <w:rPr>
          <w:rFonts w:ascii="Times New Roman" w:hAnsi="Times New Roman"/>
          <w:color w:val="auto"/>
          <w:highlight w:val="none"/>
        </w:rPr>
        <w:t>向</w:t>
      </w:r>
      <w:r>
        <w:rPr>
          <w:rFonts w:hint="eastAsia" w:ascii="Times New Roman" w:hAnsi="Times New Roman"/>
          <w:color w:val="auto"/>
          <w:highlight w:val="none"/>
        </w:rPr>
        <w:t>采购人递交</w:t>
      </w:r>
      <w:r>
        <w:rPr>
          <w:rFonts w:ascii="Times New Roman" w:hAnsi="Times New Roman"/>
          <w:color w:val="auto"/>
          <w:highlight w:val="none"/>
        </w:rPr>
        <w:t>履约保证金。除</w:t>
      </w:r>
      <w:r>
        <w:rPr>
          <w:rFonts w:hint="eastAsia" w:ascii="黑体" w:hAnsi="黑体" w:eastAsia="黑体" w:cs="黑体"/>
          <w:iCs/>
          <w:color w:val="auto"/>
          <w:highlight w:val="none"/>
        </w:rPr>
        <w:t>供应商须知前附表</w:t>
      </w:r>
      <w:r>
        <w:rPr>
          <w:rFonts w:ascii="Times New Roman" w:hAnsi="Times New Roman"/>
          <w:color w:val="auto"/>
          <w:highlight w:val="none"/>
        </w:rPr>
        <w:t>另有规定外，履约保证金为</w:t>
      </w:r>
      <w:r>
        <w:rPr>
          <w:rFonts w:hint="eastAsia" w:ascii="Times New Roman" w:hAnsi="Times New Roman"/>
          <w:color w:val="auto"/>
          <w:highlight w:val="none"/>
        </w:rPr>
        <w:t>采购</w:t>
      </w:r>
      <w:r>
        <w:rPr>
          <w:rFonts w:ascii="Times New Roman" w:hAnsi="Times New Roman"/>
          <w:color w:val="auto"/>
          <w:highlight w:val="none"/>
        </w:rPr>
        <w:t>合同金额的</w:t>
      </w:r>
      <w:r>
        <w:rPr>
          <w:rFonts w:hint="eastAsia" w:ascii="Times New Roman" w:hAnsi="Times New Roman"/>
          <w:color w:val="auto"/>
          <w:highlight w:val="none"/>
        </w:rPr>
        <w:t>5</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181" w:name="_Toc29885"/>
      <w:bookmarkStart w:id="182" w:name="_Toc501460696"/>
      <w:r>
        <w:rPr>
          <w:rFonts w:ascii="Times New Roman" w:hAnsi="Times New Roman"/>
          <w:color w:val="auto"/>
          <w:highlight w:val="none"/>
        </w:rPr>
        <w:t>7.7 签订合同</w:t>
      </w:r>
      <w:bookmarkEnd w:id="181"/>
      <w:bookmarkEnd w:id="182"/>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7.7.1 </w:t>
      </w:r>
      <w:r>
        <w:rPr>
          <w:rFonts w:hint="eastAsia" w:ascii="Times New Roman" w:hAnsi="Times New Roman"/>
          <w:color w:val="auto"/>
          <w:highlight w:val="none"/>
        </w:rPr>
        <w:t>采购人</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应当在</w:t>
      </w:r>
      <w:r>
        <w:rPr>
          <w:rFonts w:hint="eastAsia" w:ascii="Times New Roman" w:hAnsi="Times New Roman"/>
          <w:color w:val="auto"/>
          <w:highlight w:val="none"/>
        </w:rPr>
        <w:t>成交</w:t>
      </w:r>
      <w:r>
        <w:rPr>
          <w:rFonts w:ascii="Times New Roman" w:hAnsi="Times New Roman"/>
          <w:color w:val="auto"/>
          <w:highlight w:val="none"/>
        </w:rPr>
        <w:t>通知书</w:t>
      </w:r>
      <w:r>
        <w:rPr>
          <w:rFonts w:hint="eastAsia" w:ascii="Times New Roman" w:hAnsi="Times New Roman"/>
          <w:color w:val="auto"/>
          <w:highlight w:val="none"/>
        </w:rPr>
        <w:t>规定的期限内，根据采购文件</w:t>
      </w:r>
      <w:r>
        <w:rPr>
          <w:rFonts w:ascii="Times New Roman" w:hAnsi="Times New Roman"/>
          <w:color w:val="auto"/>
          <w:highlight w:val="none"/>
        </w:rPr>
        <w:t>和</w:t>
      </w:r>
      <w:r>
        <w:rPr>
          <w:rFonts w:hint="eastAsia" w:ascii="Times New Roman" w:hAnsi="Times New Roman"/>
          <w:color w:val="auto"/>
          <w:highlight w:val="none"/>
        </w:rPr>
        <w:t>成交供应商</w:t>
      </w:r>
      <w:r>
        <w:rPr>
          <w:rFonts w:ascii="Times New Roman" w:hAnsi="Times New Roman"/>
          <w:color w:val="auto"/>
          <w:highlight w:val="none"/>
        </w:rPr>
        <w:t>的</w:t>
      </w:r>
      <w:r>
        <w:rPr>
          <w:rFonts w:hint="eastAsia" w:ascii="Times New Roman" w:hAnsi="Times New Roman"/>
          <w:color w:val="auto"/>
          <w:highlight w:val="none"/>
        </w:rPr>
        <w:t>响应文件</w:t>
      </w:r>
      <w:r>
        <w:rPr>
          <w:rFonts w:ascii="Times New Roman" w:hAnsi="Times New Roman"/>
          <w:color w:val="auto"/>
          <w:highlight w:val="none"/>
        </w:rPr>
        <w:t>订立书面合同。</w:t>
      </w:r>
      <w:r>
        <w:rPr>
          <w:rFonts w:hint="eastAsia" w:ascii="Times New Roman" w:hAnsi="Times New Roman"/>
          <w:color w:val="auto"/>
          <w:highlight w:val="none"/>
        </w:rPr>
        <w:t>成交供应商</w:t>
      </w:r>
      <w:r>
        <w:rPr>
          <w:color w:val="auto"/>
          <w:highlight w:val="none"/>
        </w:rPr>
        <w:t>无正当理由</w:t>
      </w:r>
      <w:r>
        <w:rPr>
          <w:rFonts w:hint="eastAsia"/>
          <w:color w:val="auto"/>
          <w:highlight w:val="none"/>
        </w:rPr>
        <w:t>拒绝签订</w:t>
      </w:r>
      <w:r>
        <w:rPr>
          <w:color w:val="auto"/>
          <w:highlight w:val="none"/>
        </w:rPr>
        <w:t>合同，在签订合同时向</w:t>
      </w:r>
      <w:r>
        <w:rPr>
          <w:rFonts w:hint="eastAsia"/>
          <w:color w:val="auto"/>
          <w:highlight w:val="none"/>
        </w:rPr>
        <w:t>采购人</w:t>
      </w:r>
      <w:r>
        <w:rPr>
          <w:color w:val="auto"/>
          <w:highlight w:val="none"/>
        </w:rPr>
        <w:t>提出附加条件，或者不按照</w:t>
      </w:r>
      <w:r>
        <w:rPr>
          <w:rFonts w:hint="eastAsia"/>
          <w:color w:val="auto"/>
          <w:highlight w:val="none"/>
        </w:rPr>
        <w:t>采购文件</w:t>
      </w:r>
      <w:r>
        <w:rPr>
          <w:color w:val="auto"/>
          <w:highlight w:val="none"/>
        </w:rPr>
        <w:t>要求</w:t>
      </w:r>
      <w:r>
        <w:rPr>
          <w:rFonts w:hint="eastAsia"/>
          <w:color w:val="auto"/>
          <w:highlight w:val="none"/>
        </w:rPr>
        <w:t>递交</w:t>
      </w:r>
      <w:r>
        <w:rPr>
          <w:color w:val="auto"/>
          <w:highlight w:val="none"/>
        </w:rPr>
        <w:t>履约保证金的</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取消其</w:t>
      </w:r>
      <w:r>
        <w:rPr>
          <w:rFonts w:hint="eastAsia" w:ascii="Times New Roman" w:hAnsi="Times New Roman"/>
          <w:color w:val="auto"/>
          <w:highlight w:val="none"/>
        </w:rPr>
        <w:t>成交</w:t>
      </w:r>
      <w:r>
        <w:rPr>
          <w:rFonts w:ascii="Times New Roman" w:hAnsi="Times New Roman"/>
          <w:color w:val="auto"/>
          <w:highlight w:val="none"/>
        </w:rPr>
        <w:t>资格，其</w:t>
      </w:r>
      <w:r>
        <w:rPr>
          <w:rFonts w:hint="eastAsia" w:ascii="Times New Roman" w:hAnsi="Times New Roman"/>
          <w:color w:val="auto"/>
          <w:highlight w:val="none"/>
        </w:rPr>
        <w:t>响应保证金</w:t>
      </w:r>
      <w:r>
        <w:rPr>
          <w:rFonts w:ascii="Times New Roman" w:hAnsi="Times New Roman"/>
          <w:color w:val="auto"/>
          <w:highlight w:val="none"/>
        </w:rPr>
        <w:t>不予退还；给</w:t>
      </w:r>
      <w:r>
        <w:rPr>
          <w:rFonts w:hint="eastAsia" w:ascii="Times New Roman" w:hAnsi="Times New Roman"/>
          <w:color w:val="auto"/>
          <w:highlight w:val="none"/>
        </w:rPr>
        <w:t>采购人</w:t>
      </w:r>
      <w:r>
        <w:rPr>
          <w:rFonts w:ascii="Times New Roman" w:hAnsi="Times New Roman"/>
          <w:color w:val="auto"/>
          <w:highlight w:val="none"/>
        </w:rPr>
        <w:t>造成的损失超过</w:t>
      </w:r>
      <w:r>
        <w:rPr>
          <w:rFonts w:hint="eastAsia" w:ascii="Times New Roman" w:hAnsi="Times New Roman"/>
          <w:color w:val="auto"/>
          <w:highlight w:val="none"/>
        </w:rPr>
        <w:t>响应保证金</w:t>
      </w:r>
      <w:r>
        <w:rPr>
          <w:rFonts w:ascii="Times New Roman" w:hAnsi="Times New Roman"/>
          <w:color w:val="auto"/>
          <w:highlight w:val="none"/>
        </w:rPr>
        <w:t>数额的，</w:t>
      </w:r>
      <w:r>
        <w:rPr>
          <w:rFonts w:hint="eastAsia" w:ascii="Times New Roman" w:hAnsi="Times New Roman"/>
          <w:color w:val="auto"/>
          <w:highlight w:val="none"/>
        </w:rPr>
        <w:t>成交供应商</w:t>
      </w:r>
      <w:r>
        <w:rPr>
          <w:rFonts w:ascii="Times New Roman" w:hAnsi="Times New Roman"/>
          <w:color w:val="auto"/>
          <w:highlight w:val="none"/>
        </w:rPr>
        <w:t>还应当对超过部分予以赔偿。</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7.7.2 发出</w:t>
      </w:r>
      <w:r>
        <w:rPr>
          <w:rFonts w:hint="eastAsia" w:ascii="Times New Roman" w:hAnsi="Times New Roman"/>
          <w:color w:val="auto"/>
          <w:highlight w:val="none"/>
        </w:rPr>
        <w:t>成交</w:t>
      </w:r>
      <w:r>
        <w:rPr>
          <w:rFonts w:ascii="Times New Roman" w:hAnsi="Times New Roman"/>
          <w:color w:val="auto"/>
          <w:highlight w:val="none"/>
        </w:rPr>
        <w:t>通知书后，</w:t>
      </w:r>
      <w:r>
        <w:rPr>
          <w:rFonts w:hint="eastAsia" w:ascii="Times New Roman" w:hAnsi="Times New Roman"/>
          <w:color w:val="auto"/>
          <w:highlight w:val="none"/>
        </w:rPr>
        <w:t>采购人</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合同，或者</w:t>
      </w:r>
      <w:r>
        <w:rPr>
          <w:color w:val="auto"/>
          <w:highlight w:val="none"/>
        </w:rPr>
        <w:t>在签订合同时</w:t>
      </w:r>
      <w:r>
        <w:rPr>
          <w:rFonts w:hint="eastAsia"/>
          <w:color w:val="auto"/>
          <w:highlight w:val="none"/>
        </w:rPr>
        <w:t>向成交供应商</w:t>
      </w:r>
      <w:r>
        <w:rPr>
          <w:rFonts w:ascii="Times New Roman" w:hAnsi="Times New Roman"/>
          <w:color w:val="auto"/>
          <w:highlight w:val="none"/>
        </w:rPr>
        <w:t>提出附加条件的，</w:t>
      </w:r>
      <w:r>
        <w:rPr>
          <w:rFonts w:hint="eastAsia" w:ascii="Times New Roman" w:hAnsi="Times New Roman"/>
          <w:color w:val="auto"/>
          <w:highlight w:val="none"/>
        </w:rPr>
        <w:t>采购人</w:t>
      </w:r>
      <w:r>
        <w:rPr>
          <w:rFonts w:ascii="Times New Roman" w:hAnsi="Times New Roman"/>
          <w:color w:val="auto"/>
          <w:highlight w:val="none"/>
        </w:rPr>
        <w:t>向</w:t>
      </w:r>
      <w:r>
        <w:rPr>
          <w:rFonts w:hint="eastAsia" w:ascii="Times New Roman" w:hAnsi="Times New Roman"/>
          <w:color w:val="auto"/>
          <w:highlight w:val="none"/>
        </w:rPr>
        <w:t>成交供应商</w:t>
      </w:r>
      <w:r>
        <w:rPr>
          <w:rFonts w:ascii="Times New Roman" w:hAnsi="Times New Roman"/>
          <w:color w:val="auto"/>
          <w:highlight w:val="none"/>
        </w:rPr>
        <w:t>退还</w:t>
      </w:r>
      <w:r>
        <w:rPr>
          <w:rFonts w:hint="eastAsia" w:ascii="Times New Roman" w:hAnsi="Times New Roman"/>
          <w:color w:val="auto"/>
          <w:highlight w:val="none"/>
        </w:rPr>
        <w:t>响应保证金</w:t>
      </w:r>
      <w:r>
        <w:rPr>
          <w:rFonts w:ascii="Times New Roman" w:hAnsi="Times New Roman"/>
          <w:color w:val="auto"/>
          <w:highlight w:val="none"/>
        </w:rPr>
        <w:t>；给</w:t>
      </w:r>
      <w:r>
        <w:rPr>
          <w:rFonts w:hint="eastAsia" w:ascii="Times New Roman" w:hAnsi="Times New Roman"/>
          <w:color w:val="auto"/>
          <w:highlight w:val="none"/>
        </w:rPr>
        <w:t>成交供应商</w:t>
      </w:r>
      <w:r>
        <w:rPr>
          <w:rFonts w:ascii="Times New Roman" w:hAnsi="Times New Roman"/>
          <w:color w:val="auto"/>
          <w:highlight w:val="none"/>
        </w:rPr>
        <w:t>造成损失的，还应当赔偿损失。</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7.7.3 联合体</w:t>
      </w:r>
      <w:r>
        <w:rPr>
          <w:rFonts w:hint="eastAsia" w:ascii="Times New Roman" w:hAnsi="Times New Roman"/>
          <w:color w:val="auto"/>
          <w:highlight w:val="none"/>
        </w:rPr>
        <w:t>成交</w:t>
      </w:r>
      <w:r>
        <w:rPr>
          <w:rFonts w:ascii="Times New Roman" w:hAnsi="Times New Roman"/>
          <w:color w:val="auto"/>
          <w:highlight w:val="none"/>
        </w:rPr>
        <w:t>的，联合体各方应当共同与</w:t>
      </w:r>
      <w:r>
        <w:rPr>
          <w:rFonts w:hint="eastAsia" w:ascii="Times New Roman" w:hAnsi="Times New Roman"/>
          <w:color w:val="auto"/>
          <w:highlight w:val="none"/>
        </w:rPr>
        <w:t>采购人</w:t>
      </w:r>
      <w:r>
        <w:rPr>
          <w:rFonts w:ascii="Times New Roman" w:hAnsi="Times New Roman"/>
          <w:color w:val="auto"/>
          <w:highlight w:val="none"/>
        </w:rPr>
        <w:t>签订合同，就</w:t>
      </w:r>
      <w:r>
        <w:rPr>
          <w:rFonts w:hint="eastAsia" w:ascii="Times New Roman" w:hAnsi="Times New Roman"/>
          <w:color w:val="auto"/>
          <w:highlight w:val="none"/>
        </w:rPr>
        <w:t>成交</w:t>
      </w:r>
      <w:r>
        <w:rPr>
          <w:rFonts w:ascii="Times New Roman" w:hAnsi="Times New Roman"/>
          <w:color w:val="auto"/>
          <w:highlight w:val="none"/>
        </w:rPr>
        <w:t>项目向</w:t>
      </w:r>
      <w:r>
        <w:rPr>
          <w:rFonts w:hint="eastAsia" w:ascii="Times New Roman" w:hAnsi="Times New Roman"/>
          <w:color w:val="auto"/>
          <w:highlight w:val="none"/>
        </w:rPr>
        <w:t>采购人</w:t>
      </w:r>
      <w:r>
        <w:rPr>
          <w:rFonts w:ascii="Times New Roman" w:hAnsi="Times New Roman"/>
          <w:color w:val="auto"/>
          <w:highlight w:val="none"/>
        </w:rPr>
        <w:t>承担连带责任。</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7.7.4 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pStyle w:val="2"/>
        <w:spacing w:line="240" w:lineRule="auto"/>
        <w:ind w:firstLine="137"/>
        <w:rPr>
          <w:b/>
          <w:color w:val="auto"/>
          <w:highlight w:val="none"/>
        </w:rPr>
      </w:pPr>
      <w:bookmarkStart w:id="183" w:name="_Toc30179"/>
      <w:r>
        <w:rPr>
          <w:rFonts w:hint="eastAsia" w:ascii="Times New Roman" w:hAnsi="Times New Roman"/>
          <w:color w:val="auto"/>
          <w:highlight w:val="none"/>
        </w:rPr>
        <w:t>7.8 特殊情形处理</w:t>
      </w:r>
      <w:bookmarkEnd w:id="18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因供应商对预成交结果提出异议、成交供应商</w:t>
      </w:r>
      <w:r>
        <w:rPr>
          <w:rFonts w:ascii="Times New Roman" w:hAnsi="Times New Roman"/>
          <w:color w:val="auto"/>
          <w:highlight w:val="none"/>
        </w:rPr>
        <w:t>无正当理由</w:t>
      </w:r>
      <w:r>
        <w:rPr>
          <w:rFonts w:hint="eastAsia" w:ascii="Times New Roman" w:hAnsi="Times New Roman"/>
          <w:color w:val="auto"/>
          <w:highlight w:val="none"/>
        </w:rPr>
        <w:t>拒绝签订</w:t>
      </w:r>
      <w:r>
        <w:rPr>
          <w:rFonts w:ascii="Times New Roman" w:hAnsi="Times New Roman"/>
          <w:color w:val="auto"/>
          <w:highlight w:val="none"/>
        </w:rPr>
        <w:t>合同</w:t>
      </w:r>
      <w:r>
        <w:rPr>
          <w:rFonts w:hint="eastAsia" w:ascii="Times New Roman" w:hAnsi="Times New Roman"/>
          <w:color w:val="auto"/>
          <w:highlight w:val="none"/>
        </w:rPr>
        <w:t>、成交供应商</w:t>
      </w:r>
      <w:r>
        <w:rPr>
          <w:rFonts w:ascii="Times New Roman" w:hAnsi="Times New Roman"/>
          <w:color w:val="auto"/>
          <w:highlight w:val="none"/>
        </w:rPr>
        <w:t>在签订合同时向</w:t>
      </w:r>
      <w:r>
        <w:rPr>
          <w:rFonts w:hint="eastAsia" w:ascii="Times New Roman" w:hAnsi="Times New Roman"/>
          <w:color w:val="auto"/>
          <w:highlight w:val="none"/>
        </w:rPr>
        <w:t>采购人</w:t>
      </w:r>
      <w:r>
        <w:rPr>
          <w:rFonts w:ascii="Times New Roman" w:hAnsi="Times New Roman"/>
          <w:color w:val="auto"/>
          <w:highlight w:val="none"/>
        </w:rPr>
        <w:t>提出附加条件或者不按照</w:t>
      </w:r>
      <w:r>
        <w:rPr>
          <w:rFonts w:hint="eastAsia" w:ascii="Times New Roman" w:hAnsi="Times New Roman"/>
          <w:color w:val="auto"/>
          <w:highlight w:val="none"/>
        </w:rPr>
        <w:t>采购文件</w:t>
      </w:r>
      <w:r>
        <w:rPr>
          <w:rFonts w:ascii="Times New Roman" w:hAnsi="Times New Roman"/>
          <w:color w:val="auto"/>
          <w:highlight w:val="none"/>
        </w:rPr>
        <w:t>要求</w:t>
      </w:r>
      <w:r>
        <w:rPr>
          <w:rFonts w:hint="eastAsia" w:ascii="Times New Roman" w:hAnsi="Times New Roman"/>
          <w:color w:val="auto"/>
          <w:highlight w:val="none"/>
        </w:rPr>
        <w:t>递交</w:t>
      </w:r>
      <w:r>
        <w:rPr>
          <w:rFonts w:ascii="Times New Roman" w:hAnsi="Times New Roman"/>
          <w:color w:val="auto"/>
          <w:highlight w:val="none"/>
        </w:rPr>
        <w:t>履约保证金</w:t>
      </w:r>
      <w:r>
        <w:rPr>
          <w:rFonts w:hint="eastAsia" w:ascii="Times New Roman" w:hAnsi="Times New Roman"/>
          <w:color w:val="auto"/>
          <w:highlight w:val="none"/>
        </w:rPr>
        <w:t>等导致采购人变更成交结果</w:t>
      </w:r>
      <w:r>
        <w:rPr>
          <w:rFonts w:ascii="Times New Roman" w:hAnsi="Times New Roman"/>
          <w:color w:val="auto"/>
          <w:highlight w:val="none"/>
        </w:rPr>
        <w:t>的，</w:t>
      </w:r>
      <w:r>
        <w:rPr>
          <w:rFonts w:hint="eastAsia" w:ascii="Times New Roman" w:hAnsi="Times New Roman"/>
          <w:color w:val="auto"/>
          <w:highlight w:val="none"/>
        </w:rPr>
        <w:t>采购人应按照本条规定的程序重新选择确定预成交供应商、进行公示并公告。</w:t>
      </w:r>
    </w:p>
    <w:p>
      <w:pPr>
        <w:pStyle w:val="4"/>
        <w:rPr>
          <w:rFonts w:ascii="Times New Roman" w:hAnsi="Times New Roman"/>
          <w:color w:val="auto"/>
          <w:highlight w:val="none"/>
        </w:rPr>
      </w:pPr>
      <w:bookmarkStart w:id="184" w:name="_Toc30480"/>
      <w:r>
        <w:rPr>
          <w:rFonts w:ascii="Times New Roman" w:hAnsi="Times New Roman"/>
          <w:color w:val="auto"/>
          <w:highlight w:val="none"/>
        </w:rPr>
        <w:t xml:space="preserve">8. </w:t>
      </w:r>
      <w:r>
        <w:rPr>
          <w:rFonts w:hint="eastAsia" w:ascii="Times New Roman" w:hAnsi="Times New Roman"/>
          <w:color w:val="auto"/>
          <w:highlight w:val="none"/>
        </w:rPr>
        <w:t>异议</w:t>
      </w:r>
      <w:bookmarkEnd w:id="184"/>
    </w:p>
    <w:p>
      <w:pPr>
        <w:pStyle w:val="2"/>
        <w:spacing w:line="240" w:lineRule="auto"/>
        <w:ind w:firstLine="137"/>
        <w:rPr>
          <w:rFonts w:ascii="Times New Roman" w:hAnsi="Times New Roman"/>
          <w:color w:val="auto"/>
          <w:highlight w:val="none"/>
        </w:rPr>
      </w:pPr>
      <w:bookmarkStart w:id="185" w:name="_Toc30686"/>
      <w:r>
        <w:rPr>
          <w:rFonts w:ascii="Times New Roman" w:hAnsi="Times New Roman"/>
          <w:color w:val="auto"/>
          <w:highlight w:val="none"/>
        </w:rPr>
        <w:t xml:space="preserve">8.1 </w:t>
      </w:r>
      <w:r>
        <w:rPr>
          <w:rFonts w:hint="eastAsia" w:ascii="Times New Roman" w:hAnsi="Times New Roman"/>
          <w:color w:val="auto"/>
          <w:highlight w:val="none"/>
        </w:rPr>
        <w:t>提出异议</w:t>
      </w:r>
      <w:bookmarkEnd w:id="185"/>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）异议人名称、地址、邮政编码、联系人及联系电话；</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）具体、明确的异议事项、事实依据及与异议事项相关的请求。</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异议函应由异议人的法定代表人（单位负责人）或者其授权代表签字并加盖单位章。</w:t>
      </w:r>
    </w:p>
    <w:p>
      <w:pPr>
        <w:pStyle w:val="2"/>
        <w:spacing w:line="240" w:lineRule="auto"/>
        <w:ind w:firstLine="137"/>
        <w:rPr>
          <w:rFonts w:ascii="Times New Roman" w:hAnsi="Times New Roman"/>
          <w:color w:val="auto"/>
          <w:highlight w:val="none"/>
        </w:rPr>
      </w:pPr>
      <w:bookmarkStart w:id="186" w:name="_Toc29160"/>
      <w:r>
        <w:rPr>
          <w:rFonts w:ascii="Times New Roman" w:hAnsi="Times New Roman"/>
          <w:color w:val="auto"/>
          <w:highlight w:val="none"/>
        </w:rPr>
        <w:t xml:space="preserve">8.2 </w:t>
      </w:r>
      <w:r>
        <w:rPr>
          <w:rFonts w:hint="eastAsia" w:ascii="Times New Roman" w:hAnsi="Times New Roman"/>
          <w:color w:val="auto"/>
          <w:highlight w:val="none"/>
        </w:rPr>
        <w:t>异议处理</w:t>
      </w:r>
      <w:bookmarkEnd w:id="186"/>
    </w:p>
    <w:p>
      <w:pPr>
        <w:spacing w:line="400" w:lineRule="exact"/>
        <w:ind w:firstLine="420" w:firstLineChars="200"/>
        <w:rPr>
          <w:rFonts w:ascii="Times New Roman" w:hAnsi="Times New Roman"/>
          <w:color w:val="auto"/>
          <w:highlight w:val="none"/>
        </w:rPr>
      </w:pPr>
      <w:bookmarkStart w:id="187" w:name="_Toc24067"/>
      <w:bookmarkStart w:id="188" w:name="_Toc384308252"/>
      <w:bookmarkStart w:id="189" w:name="_Toc361508627"/>
      <w:bookmarkStart w:id="190" w:name="_Toc501460697"/>
      <w:bookmarkStart w:id="191" w:name="_Toc247527593"/>
      <w:bookmarkStart w:id="192" w:name="_Toc152045568"/>
      <w:bookmarkStart w:id="193" w:name="_Toc144974536"/>
      <w:bookmarkStart w:id="194" w:name="_Toc152042344"/>
      <w:bookmarkStart w:id="195" w:name="_Toc300834991"/>
      <w:bookmarkStart w:id="196" w:name="_Toc247513992"/>
      <w:r>
        <w:rPr>
          <w:rFonts w:hint="eastAsia" w:ascii="Times New Roman" w:hAnsi="Times New Roman"/>
          <w:color w:val="auto"/>
          <w:highlight w:val="none"/>
        </w:rPr>
        <w:t>采购人将针对异议提出的问题进行核查，经过核查，发现异议提出人对相关问题理解有误的，应作出解释；发现采购活动中确实存在错误或不当行为的，应及时予以改正或补救。</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异议人与采购人对异议事项无法达成一致的，异议人可向供应商须知前附表规定的行业组织或专业咨询机构申请调解或进行反映。</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采购人认为异议不成立或不影响采购结果的，可以继续进行采购活动。</w:t>
      </w:r>
    </w:p>
    <w:p>
      <w:pPr>
        <w:pStyle w:val="4"/>
        <w:rPr>
          <w:rFonts w:ascii="Times New Roman" w:hAnsi="Times New Roman"/>
          <w:color w:val="auto"/>
          <w:highlight w:val="none"/>
        </w:rPr>
      </w:pPr>
      <w:bookmarkStart w:id="197" w:name="_Toc12826"/>
      <w:r>
        <w:rPr>
          <w:rFonts w:hint="eastAsia" w:ascii="Times New Roman" w:hAnsi="Times New Roman"/>
          <w:color w:val="auto"/>
          <w:highlight w:val="none"/>
        </w:rPr>
        <w:t>9</w:t>
      </w:r>
      <w:r>
        <w:rPr>
          <w:rFonts w:ascii="Times New Roman" w:hAnsi="Times New Roman"/>
          <w:color w:val="auto"/>
          <w:highlight w:val="none"/>
        </w:rPr>
        <w:t>.</w:t>
      </w:r>
      <w:bookmarkEnd w:id="187"/>
      <w:bookmarkEnd w:id="188"/>
      <w:bookmarkEnd w:id="189"/>
      <w:r>
        <w:rPr>
          <w:rFonts w:ascii="Times New Roman" w:hAnsi="Times New Roman"/>
          <w:color w:val="auto"/>
          <w:highlight w:val="none"/>
        </w:rPr>
        <w:t xml:space="preserve"> 纪律</w:t>
      </w:r>
      <w:bookmarkEnd w:id="190"/>
      <w:r>
        <w:rPr>
          <w:rFonts w:hint="eastAsia" w:ascii="Times New Roman" w:hAnsi="Times New Roman"/>
          <w:color w:val="auto"/>
          <w:highlight w:val="none"/>
        </w:rPr>
        <w:t>要求</w:t>
      </w:r>
      <w:bookmarkEnd w:id="197"/>
    </w:p>
    <w:p>
      <w:pPr>
        <w:pStyle w:val="2"/>
        <w:spacing w:line="240" w:lineRule="auto"/>
        <w:ind w:firstLine="137"/>
        <w:rPr>
          <w:rFonts w:ascii="Times New Roman" w:hAnsi="Times New Roman"/>
          <w:color w:val="auto"/>
          <w:highlight w:val="none"/>
        </w:rPr>
      </w:pPr>
      <w:bookmarkStart w:id="198" w:name="_Toc15234"/>
      <w:bookmarkStart w:id="199" w:name="_Toc501460698"/>
      <w:r>
        <w:rPr>
          <w:rFonts w:hint="eastAsia" w:ascii="Times New Roman" w:hAnsi="Times New Roman"/>
          <w:color w:val="auto"/>
          <w:highlight w:val="none"/>
        </w:rPr>
        <w:t>9</w:t>
      </w:r>
      <w:r>
        <w:rPr>
          <w:rFonts w:ascii="Times New Roman" w:hAnsi="Times New Roman"/>
          <w:color w:val="auto"/>
          <w:highlight w:val="none"/>
        </w:rPr>
        <w:t>.1 对</w:t>
      </w:r>
      <w:r>
        <w:rPr>
          <w:rFonts w:hint="eastAsia" w:ascii="Times New Roman" w:hAnsi="Times New Roman"/>
          <w:color w:val="auto"/>
          <w:highlight w:val="none"/>
        </w:rPr>
        <w:t>采购人</w:t>
      </w:r>
      <w:r>
        <w:rPr>
          <w:rFonts w:ascii="Times New Roman" w:hAnsi="Times New Roman"/>
          <w:color w:val="auto"/>
          <w:highlight w:val="none"/>
        </w:rPr>
        <w:t>的纪律要求</w:t>
      </w:r>
      <w:bookmarkEnd w:id="198"/>
      <w:bookmarkEnd w:id="199"/>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采购人</w:t>
      </w:r>
      <w:r>
        <w:rPr>
          <w:rFonts w:ascii="Times New Roman" w:hAnsi="Times New Roman"/>
          <w:color w:val="auto"/>
          <w:highlight w:val="none"/>
        </w:rPr>
        <w:t>不得泄露</w:t>
      </w:r>
      <w:r>
        <w:rPr>
          <w:rFonts w:hint="eastAsia" w:ascii="Times New Roman" w:hAnsi="Times New Roman"/>
          <w:color w:val="auto"/>
          <w:highlight w:val="none"/>
        </w:rPr>
        <w:t>询比采购</w:t>
      </w:r>
      <w:r>
        <w:rPr>
          <w:rFonts w:ascii="Times New Roman" w:hAnsi="Times New Roman"/>
          <w:color w:val="auto"/>
          <w:highlight w:val="none"/>
        </w:rPr>
        <w:t>活动中应当保密的情况和资料，不得与</w:t>
      </w:r>
      <w:r>
        <w:rPr>
          <w:rFonts w:hint="eastAsia" w:ascii="Times New Roman" w:hAnsi="Times New Roman"/>
          <w:color w:val="auto"/>
          <w:highlight w:val="none"/>
        </w:rPr>
        <w:t>供应商</w:t>
      </w:r>
      <w:r>
        <w:rPr>
          <w:rFonts w:ascii="Times New Roman" w:hAnsi="Times New Roman"/>
          <w:color w:val="auto"/>
          <w:highlight w:val="none"/>
        </w:rPr>
        <w:t>串通损害国家利益、社会公共利益或者他人合法权益。</w:t>
      </w:r>
    </w:p>
    <w:p>
      <w:pPr>
        <w:pStyle w:val="2"/>
        <w:spacing w:line="240" w:lineRule="auto"/>
        <w:ind w:firstLine="137"/>
        <w:rPr>
          <w:rFonts w:ascii="Times New Roman" w:hAnsi="Times New Roman"/>
          <w:color w:val="auto"/>
          <w:highlight w:val="none"/>
        </w:rPr>
      </w:pPr>
      <w:bookmarkStart w:id="200" w:name="_Toc640"/>
      <w:bookmarkStart w:id="201" w:name="_Toc501460699"/>
      <w:r>
        <w:rPr>
          <w:rFonts w:hint="eastAsia" w:ascii="Times New Roman" w:hAnsi="Times New Roman"/>
          <w:color w:val="auto"/>
          <w:highlight w:val="none"/>
        </w:rPr>
        <w:t>9</w:t>
      </w:r>
      <w:r>
        <w:rPr>
          <w:rFonts w:ascii="Times New Roman" w:hAnsi="Times New Roman"/>
          <w:color w:val="auto"/>
          <w:highlight w:val="none"/>
        </w:rPr>
        <w:t>.2 对</w:t>
      </w:r>
      <w:r>
        <w:rPr>
          <w:rFonts w:hint="eastAsia" w:ascii="Times New Roman" w:hAnsi="Times New Roman"/>
          <w:color w:val="auto"/>
          <w:highlight w:val="none"/>
        </w:rPr>
        <w:t>供应商</w:t>
      </w:r>
      <w:r>
        <w:rPr>
          <w:rFonts w:ascii="Times New Roman" w:hAnsi="Times New Roman"/>
          <w:color w:val="auto"/>
          <w:highlight w:val="none"/>
        </w:rPr>
        <w:t>的纪律要求</w:t>
      </w:r>
      <w:bookmarkEnd w:id="200"/>
      <w:bookmarkEnd w:id="201"/>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不得相互串通或者与</w:t>
      </w:r>
      <w:r>
        <w:rPr>
          <w:rFonts w:hint="eastAsia" w:ascii="Times New Roman" w:hAnsi="Times New Roman"/>
          <w:color w:val="auto"/>
          <w:highlight w:val="none"/>
        </w:rPr>
        <w:t>采购人</w:t>
      </w:r>
      <w:r>
        <w:rPr>
          <w:rFonts w:ascii="Times New Roman" w:hAnsi="Times New Roman"/>
          <w:color w:val="auto"/>
          <w:highlight w:val="none"/>
        </w:rPr>
        <w:t>串通，不得向</w:t>
      </w:r>
      <w:r>
        <w:rPr>
          <w:rFonts w:hint="eastAsia" w:ascii="Times New Roman" w:hAnsi="Times New Roman"/>
          <w:color w:val="auto"/>
          <w:highlight w:val="none"/>
        </w:rPr>
        <w:t>采购人</w:t>
      </w:r>
      <w:r>
        <w:rPr>
          <w:rFonts w:ascii="Times New Roman" w:hAnsi="Times New Roman"/>
          <w:color w:val="auto"/>
          <w:highlight w:val="none"/>
        </w:rPr>
        <w:t>或者</w:t>
      </w:r>
      <w:r>
        <w:rPr>
          <w:rFonts w:hint="eastAsia" w:ascii="Times New Roman" w:hAnsi="Times New Roman"/>
          <w:color w:val="auto"/>
          <w:highlight w:val="none"/>
        </w:rPr>
        <w:t>评审小组</w:t>
      </w:r>
      <w:r>
        <w:rPr>
          <w:rFonts w:ascii="Times New Roman" w:hAnsi="Times New Roman"/>
          <w:color w:val="auto"/>
          <w:highlight w:val="none"/>
        </w:rPr>
        <w:t>成员行贿谋取</w:t>
      </w:r>
      <w:r>
        <w:rPr>
          <w:rFonts w:hint="eastAsia" w:ascii="Times New Roman" w:hAnsi="Times New Roman"/>
          <w:color w:val="auto"/>
          <w:highlight w:val="none"/>
        </w:rPr>
        <w:t>成交</w:t>
      </w:r>
      <w:r>
        <w:rPr>
          <w:rFonts w:ascii="Times New Roman" w:hAnsi="Times New Roman"/>
          <w:color w:val="auto"/>
          <w:highlight w:val="none"/>
        </w:rPr>
        <w:t>，不得以他人名义</w:t>
      </w:r>
      <w:r>
        <w:rPr>
          <w:rFonts w:hint="eastAsia" w:ascii="Times New Roman" w:hAnsi="Times New Roman"/>
          <w:color w:val="auto"/>
          <w:highlight w:val="none"/>
        </w:rPr>
        <w:t>参加询比采购活动</w:t>
      </w:r>
      <w:r>
        <w:rPr>
          <w:rFonts w:ascii="Times New Roman" w:hAnsi="Times New Roman"/>
          <w:color w:val="auto"/>
          <w:highlight w:val="none"/>
        </w:rPr>
        <w:t>或者以其他方式弄虚作假骗取</w:t>
      </w:r>
      <w:r>
        <w:rPr>
          <w:rFonts w:hint="eastAsia" w:ascii="Times New Roman" w:hAnsi="Times New Roman"/>
          <w:color w:val="auto"/>
          <w:highlight w:val="none"/>
        </w:rPr>
        <w:t>成交</w:t>
      </w: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不得以任何方式干扰、影响</w:t>
      </w:r>
      <w:r>
        <w:rPr>
          <w:rFonts w:hint="eastAsia" w:ascii="Times New Roman" w:hAnsi="Times New Roman"/>
          <w:color w:val="auto"/>
          <w:highlight w:val="none"/>
        </w:rPr>
        <w:t>评审</w:t>
      </w:r>
      <w:r>
        <w:rPr>
          <w:rFonts w:ascii="Times New Roman" w:hAnsi="Times New Roman"/>
          <w:color w:val="auto"/>
          <w:highlight w:val="none"/>
        </w:rPr>
        <w:t>工作。</w:t>
      </w:r>
    </w:p>
    <w:p>
      <w:pPr>
        <w:pStyle w:val="2"/>
        <w:spacing w:line="240" w:lineRule="auto"/>
        <w:ind w:firstLine="137"/>
        <w:rPr>
          <w:rFonts w:ascii="Times New Roman" w:hAnsi="Times New Roman"/>
          <w:color w:val="auto"/>
          <w:highlight w:val="none"/>
        </w:rPr>
      </w:pPr>
      <w:bookmarkStart w:id="202" w:name="_Toc87"/>
      <w:bookmarkStart w:id="203" w:name="_Toc501460700"/>
      <w:r>
        <w:rPr>
          <w:rFonts w:hint="eastAsia" w:ascii="Times New Roman" w:hAnsi="Times New Roman"/>
          <w:color w:val="auto"/>
          <w:highlight w:val="none"/>
        </w:rPr>
        <w:t>9</w:t>
      </w:r>
      <w:r>
        <w:rPr>
          <w:rFonts w:ascii="Times New Roman" w:hAnsi="Times New Roman"/>
          <w:color w:val="auto"/>
          <w:highlight w:val="none"/>
        </w:rPr>
        <w:t>.3 对</w:t>
      </w:r>
      <w:r>
        <w:rPr>
          <w:rFonts w:hint="eastAsia" w:ascii="Times New Roman" w:hAnsi="Times New Roman"/>
          <w:color w:val="auto"/>
          <w:highlight w:val="none"/>
        </w:rPr>
        <w:t>评审小组</w:t>
      </w:r>
      <w:r>
        <w:rPr>
          <w:rFonts w:ascii="Times New Roman" w:hAnsi="Times New Roman"/>
          <w:color w:val="auto"/>
          <w:highlight w:val="none"/>
        </w:rPr>
        <w:t>成员的纪律要求</w:t>
      </w:r>
      <w:bookmarkEnd w:id="202"/>
      <w:bookmarkEnd w:id="203"/>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成员不得收受他人的财物或者其他好处，不得向他人透露对</w:t>
      </w:r>
      <w:r>
        <w:rPr>
          <w:rFonts w:hint="eastAsia" w:ascii="Times New Roman" w:hAnsi="Times New Roman"/>
          <w:color w:val="auto"/>
          <w:highlight w:val="none"/>
        </w:rPr>
        <w:t>响应文件</w:t>
      </w:r>
      <w:r>
        <w:rPr>
          <w:rFonts w:ascii="Times New Roman" w:hAnsi="Times New Roman"/>
          <w:color w:val="auto"/>
          <w:highlight w:val="none"/>
        </w:rPr>
        <w:t>的评审</w:t>
      </w:r>
      <w:bookmarkStart w:id="204" w:name="_Toc361508628"/>
      <w:bookmarkStart w:id="205" w:name="_Toc369531559"/>
      <w:bookmarkStart w:id="206" w:name="_Toc352691515"/>
      <w:bookmarkStart w:id="207" w:name="_Toc13644"/>
      <w:bookmarkStart w:id="208" w:name="_Toc384308253"/>
      <w:r>
        <w:rPr>
          <w:rFonts w:ascii="Times New Roman" w:hAnsi="Times New Roman"/>
          <w:color w:val="auto"/>
          <w:highlight w:val="none"/>
        </w:rPr>
        <w:t>和比较、</w:t>
      </w:r>
      <w:bookmarkEnd w:id="191"/>
      <w:bookmarkEnd w:id="192"/>
      <w:bookmarkEnd w:id="193"/>
      <w:bookmarkEnd w:id="194"/>
      <w:bookmarkEnd w:id="195"/>
      <w:bookmarkEnd w:id="196"/>
      <w:bookmarkEnd w:id="204"/>
      <w:bookmarkEnd w:id="205"/>
      <w:bookmarkEnd w:id="206"/>
      <w:bookmarkEnd w:id="207"/>
      <w:bookmarkEnd w:id="208"/>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评审</w:t>
      </w:r>
      <w:r>
        <w:rPr>
          <w:rFonts w:ascii="Times New Roman" w:hAnsi="Times New Roman"/>
          <w:color w:val="auto"/>
          <w:highlight w:val="none"/>
        </w:rPr>
        <w:t>有关的其他情况。在</w:t>
      </w:r>
      <w:r>
        <w:rPr>
          <w:rFonts w:hint="eastAsia" w:ascii="Times New Roman" w:hAnsi="Times New Roman"/>
          <w:color w:val="auto"/>
          <w:highlight w:val="none"/>
        </w:rPr>
        <w:t>评审</w:t>
      </w:r>
      <w:r>
        <w:rPr>
          <w:rFonts w:ascii="Times New Roman" w:hAnsi="Times New Roman"/>
          <w:color w:val="auto"/>
          <w:highlight w:val="none"/>
        </w:rPr>
        <w:t>活动中，</w:t>
      </w:r>
      <w:r>
        <w:rPr>
          <w:rFonts w:hint="eastAsia" w:ascii="Times New Roman" w:hAnsi="Times New Roman"/>
          <w:color w:val="auto"/>
          <w:highlight w:val="none"/>
        </w:rPr>
        <w:t>评审小组</w:t>
      </w:r>
      <w:r>
        <w:rPr>
          <w:rFonts w:ascii="Times New Roman" w:hAnsi="Times New Roman"/>
          <w:color w:val="auto"/>
          <w:highlight w:val="none"/>
        </w:rPr>
        <w:t>成员应当客观、公正地履行职责，遵守职业道德，不得擅离职守</w:t>
      </w:r>
      <w:r>
        <w:rPr>
          <w:rFonts w:hint="eastAsia" w:ascii="Times New Roman" w:hAnsi="Times New Roman"/>
          <w:color w:val="auto"/>
          <w:highlight w:val="none"/>
        </w:rPr>
        <w:t>、</w:t>
      </w:r>
      <w:r>
        <w:rPr>
          <w:rFonts w:ascii="Times New Roman" w:hAnsi="Times New Roman"/>
          <w:color w:val="auto"/>
          <w:highlight w:val="none"/>
        </w:rPr>
        <w:t>影响</w:t>
      </w:r>
      <w:r>
        <w:rPr>
          <w:rFonts w:hint="eastAsia" w:ascii="Times New Roman" w:hAnsi="Times New Roman"/>
          <w:color w:val="auto"/>
          <w:highlight w:val="none"/>
        </w:rPr>
        <w:t>评审工作</w:t>
      </w:r>
      <w:r>
        <w:rPr>
          <w:rFonts w:ascii="Times New Roman" w:hAnsi="Times New Roman"/>
          <w:color w:val="auto"/>
          <w:highlight w:val="none"/>
        </w:rPr>
        <w:t>正常进行，不得使用第三章</w:t>
      </w:r>
      <w:r>
        <w:rPr>
          <w:rFonts w:hint="eastAsia" w:ascii="Times New Roman" w:hAnsi="Times New Roman"/>
          <w:color w:val="auto"/>
          <w:highlight w:val="none"/>
        </w:rPr>
        <w:t>“评审</w:t>
      </w:r>
      <w:r>
        <w:rPr>
          <w:rFonts w:ascii="Times New Roman" w:hAnsi="Times New Roman"/>
          <w:color w:val="auto"/>
          <w:highlight w:val="none"/>
        </w:rPr>
        <w:t>办法</w:t>
      </w:r>
      <w:r>
        <w:rPr>
          <w:rFonts w:hint="eastAsia" w:ascii="Times New Roman" w:hAnsi="Times New Roman"/>
          <w:color w:val="auto"/>
          <w:highlight w:val="none"/>
        </w:rPr>
        <w:t>”</w:t>
      </w:r>
      <w:r>
        <w:rPr>
          <w:rFonts w:ascii="Times New Roman" w:hAnsi="Times New Roman"/>
          <w:color w:val="auto"/>
          <w:highlight w:val="none"/>
        </w:rPr>
        <w:t>没有规定的评审因素和标准进行</w:t>
      </w:r>
      <w:r>
        <w:rPr>
          <w:rFonts w:hint="eastAsia" w:ascii="Times New Roman" w:hAnsi="Times New Roman"/>
          <w:color w:val="auto"/>
          <w:highlight w:val="none"/>
        </w:rPr>
        <w:t>评审</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209" w:name="_Toc22795"/>
      <w:bookmarkStart w:id="210" w:name="_Toc501460701"/>
      <w:r>
        <w:rPr>
          <w:rFonts w:hint="eastAsia" w:ascii="Times New Roman" w:hAnsi="Times New Roman"/>
          <w:color w:val="auto"/>
          <w:highlight w:val="none"/>
        </w:rPr>
        <w:t>9</w:t>
      </w:r>
      <w:r>
        <w:rPr>
          <w:rFonts w:ascii="Times New Roman" w:hAnsi="Times New Roman"/>
          <w:color w:val="auto"/>
          <w:highlight w:val="none"/>
        </w:rPr>
        <w:t>.4 对与</w:t>
      </w:r>
      <w:r>
        <w:rPr>
          <w:rFonts w:hint="eastAsia" w:ascii="Times New Roman" w:hAnsi="Times New Roman"/>
          <w:color w:val="auto"/>
          <w:highlight w:val="none"/>
        </w:rPr>
        <w:t>询比</w:t>
      </w:r>
      <w:r>
        <w:rPr>
          <w:rFonts w:ascii="Times New Roman" w:hAnsi="Times New Roman"/>
          <w:color w:val="auto"/>
          <w:highlight w:val="none"/>
        </w:rPr>
        <w:t>活动有关的工作人员的纪律要求</w:t>
      </w:r>
      <w:bookmarkEnd w:id="209"/>
      <w:bookmarkEnd w:id="210"/>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与</w:t>
      </w:r>
      <w:r>
        <w:rPr>
          <w:rFonts w:hint="eastAsia" w:ascii="Times New Roman" w:hAnsi="Times New Roman"/>
          <w:color w:val="auto"/>
          <w:highlight w:val="none"/>
        </w:rPr>
        <w:t>询比</w:t>
      </w:r>
      <w:r>
        <w:rPr>
          <w:rFonts w:ascii="Times New Roman" w:hAnsi="Times New Roman"/>
          <w:color w:val="auto"/>
          <w:highlight w:val="none"/>
        </w:rPr>
        <w:t>活动有关的工作人员不得收受他人的财物或者其他好处，不得向他人透露对</w:t>
      </w:r>
      <w:bookmarkStart w:id="211" w:name="_Toc19429"/>
      <w:bookmarkStart w:id="212" w:name="_Toc247513993"/>
      <w:bookmarkStart w:id="213" w:name="_Toc144974537"/>
      <w:bookmarkStart w:id="214" w:name="_Toc247527594"/>
      <w:bookmarkStart w:id="215" w:name="_Toc300834992"/>
      <w:bookmarkStart w:id="216" w:name="_Toc352691516"/>
      <w:bookmarkStart w:id="217" w:name="_Toc361508629"/>
      <w:bookmarkStart w:id="218" w:name="_Toc369531560"/>
      <w:bookmarkStart w:id="219" w:name="_Toc152042345"/>
      <w:bookmarkStart w:id="220" w:name="_Toc384308254"/>
      <w:bookmarkStart w:id="221" w:name="_Toc152045569"/>
      <w:r>
        <w:rPr>
          <w:rFonts w:hint="eastAsia" w:ascii="Times New Roman" w:hAnsi="Times New Roman"/>
          <w:color w:val="auto"/>
          <w:highlight w:val="none"/>
        </w:rPr>
        <w:t>响应文件</w:t>
      </w:r>
      <w:r>
        <w:rPr>
          <w:rFonts w:ascii="Times New Roman" w:hAnsi="Times New Roman"/>
          <w:color w:val="auto"/>
          <w:highlight w:val="none"/>
        </w:rPr>
        <w:t>的评审和比较、</w:t>
      </w:r>
      <w:bookmarkEnd w:id="211"/>
      <w:bookmarkEnd w:id="212"/>
      <w:bookmarkEnd w:id="213"/>
      <w:bookmarkEnd w:id="214"/>
      <w:bookmarkEnd w:id="215"/>
      <w:bookmarkEnd w:id="216"/>
      <w:bookmarkEnd w:id="217"/>
      <w:bookmarkEnd w:id="218"/>
      <w:bookmarkEnd w:id="219"/>
      <w:bookmarkEnd w:id="220"/>
      <w:bookmarkEnd w:id="221"/>
      <w:r>
        <w:rPr>
          <w:rFonts w:hint="eastAsia" w:ascii="Times New Roman" w:hAnsi="Times New Roman"/>
          <w:color w:val="auto"/>
          <w:highlight w:val="none"/>
        </w:rPr>
        <w:t>候选成交供应商</w:t>
      </w:r>
      <w:r>
        <w:rPr>
          <w:rFonts w:ascii="Times New Roman" w:hAnsi="Times New Roman"/>
          <w:color w:val="auto"/>
          <w:highlight w:val="none"/>
        </w:rPr>
        <w:t>的推荐情况以及</w:t>
      </w:r>
      <w:r>
        <w:rPr>
          <w:rFonts w:hint="eastAsia" w:ascii="Times New Roman" w:hAnsi="Times New Roman"/>
          <w:color w:val="auto"/>
          <w:highlight w:val="none"/>
        </w:rPr>
        <w:t>询比</w:t>
      </w:r>
      <w:r>
        <w:rPr>
          <w:rFonts w:ascii="Times New Roman" w:hAnsi="Times New Roman"/>
          <w:color w:val="auto"/>
          <w:highlight w:val="none"/>
        </w:rPr>
        <w:t>有关的其他情况。在</w:t>
      </w:r>
      <w:r>
        <w:rPr>
          <w:rFonts w:hint="eastAsia" w:ascii="Times New Roman" w:hAnsi="Times New Roman"/>
          <w:color w:val="auto"/>
          <w:highlight w:val="none"/>
        </w:rPr>
        <w:t>询比</w:t>
      </w:r>
      <w:r>
        <w:rPr>
          <w:rFonts w:ascii="Times New Roman" w:hAnsi="Times New Roman"/>
          <w:color w:val="auto"/>
          <w:highlight w:val="none"/>
        </w:rPr>
        <w:t>活动中，与</w:t>
      </w:r>
      <w:r>
        <w:rPr>
          <w:rFonts w:hint="eastAsia" w:ascii="Times New Roman" w:hAnsi="Times New Roman"/>
          <w:color w:val="auto"/>
          <w:highlight w:val="none"/>
        </w:rPr>
        <w:t>询比</w:t>
      </w:r>
      <w:r>
        <w:rPr>
          <w:rFonts w:ascii="Times New Roman" w:hAnsi="Times New Roman"/>
          <w:color w:val="auto"/>
          <w:highlight w:val="none"/>
        </w:rPr>
        <w:t>活动有关的工作人员不得擅离职守，影响</w:t>
      </w:r>
      <w:r>
        <w:rPr>
          <w:rFonts w:hint="eastAsia" w:ascii="Times New Roman" w:hAnsi="Times New Roman"/>
          <w:color w:val="auto"/>
          <w:highlight w:val="none"/>
        </w:rPr>
        <w:t>评审工作</w:t>
      </w:r>
      <w:r>
        <w:rPr>
          <w:rFonts w:ascii="Times New Roman" w:hAnsi="Times New Roman"/>
          <w:color w:val="auto"/>
          <w:highlight w:val="none"/>
        </w:rPr>
        <w:t>正常进行。</w:t>
      </w:r>
    </w:p>
    <w:p>
      <w:pPr>
        <w:pStyle w:val="4"/>
        <w:spacing w:line="240" w:lineRule="auto"/>
        <w:rPr>
          <w:rFonts w:ascii="Times New Roman" w:hAnsi="Times New Roman"/>
          <w:color w:val="auto"/>
          <w:highlight w:val="none"/>
        </w:rPr>
      </w:pPr>
      <w:bookmarkStart w:id="222" w:name="_Toc501460704"/>
      <w:bookmarkStart w:id="223" w:name="_Toc14392"/>
      <w:r>
        <w:rPr>
          <w:rFonts w:hint="eastAsia" w:ascii="Times New Roman" w:hAnsi="Times New Roman"/>
          <w:color w:val="auto"/>
          <w:highlight w:val="none"/>
        </w:rPr>
        <w:t>10</w:t>
      </w:r>
      <w:r>
        <w:rPr>
          <w:rFonts w:ascii="Times New Roman" w:hAnsi="Times New Roman"/>
          <w:color w:val="auto"/>
          <w:highlight w:val="none"/>
        </w:rPr>
        <w:t xml:space="preserve">. </w:t>
      </w:r>
      <w:bookmarkEnd w:id="222"/>
      <w:r>
        <w:rPr>
          <w:rFonts w:ascii="Times New Roman" w:hAnsi="Times New Roman"/>
          <w:color w:val="auto"/>
          <w:highlight w:val="none"/>
        </w:rPr>
        <w:t>需要补充的其他内容</w:t>
      </w:r>
      <w:bookmarkEnd w:id="223"/>
    </w:p>
    <w:p>
      <w:pPr>
        <w:pStyle w:val="2"/>
        <w:spacing w:line="240" w:lineRule="auto"/>
        <w:ind w:firstLine="137"/>
        <w:rPr>
          <w:rFonts w:ascii="Times New Roman" w:hAnsi="Times New Roman"/>
          <w:color w:val="auto"/>
          <w:highlight w:val="none"/>
        </w:rPr>
      </w:pPr>
      <w:bookmarkStart w:id="224" w:name="_Toc32514"/>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采购代理服务费</w:t>
      </w:r>
      <w:bookmarkEnd w:id="224"/>
    </w:p>
    <w:p>
      <w:pPr>
        <w:spacing w:line="400" w:lineRule="exact"/>
        <w:ind w:firstLine="420" w:firstLineChars="200"/>
        <w:rPr>
          <w:rFonts w:ascii="Times New Roman" w:hAnsi="Times New Roman"/>
          <w:color w:val="auto"/>
          <w:highlight w:val="none"/>
        </w:rPr>
      </w:pPr>
      <w:r>
        <w:rPr>
          <w:rFonts w:hint="eastAsia" w:ascii="黑体" w:hAnsi="黑体" w:eastAsia="黑体" w:cs="黑体"/>
          <w:iCs/>
          <w:color w:val="auto"/>
          <w:highlight w:val="none"/>
        </w:rPr>
        <w:t>供应商须知</w:t>
      </w:r>
      <w:r>
        <w:rPr>
          <w:rFonts w:hint="eastAsia" w:ascii="黑体" w:hAnsi="黑体" w:eastAsia="黑体" w:cs="黑体"/>
          <w:iCs/>
          <w:color w:val="auto"/>
          <w:highlight w:val="none"/>
          <w:lang w:eastAsia="zh-CN"/>
        </w:rPr>
        <w:t>如</w:t>
      </w:r>
      <w:r>
        <w:rPr>
          <w:rFonts w:hint="eastAsia" w:ascii="黑体" w:hAnsi="黑体" w:eastAsia="黑体" w:cs="黑体"/>
          <w:iCs/>
          <w:color w:val="auto"/>
          <w:highlight w:val="none"/>
        </w:rPr>
        <w:t>前附表</w:t>
      </w:r>
      <w:r>
        <w:rPr>
          <w:rFonts w:hint="eastAsia" w:ascii="Times New Roman" w:hAnsi="Times New Roman"/>
          <w:color w:val="auto"/>
          <w:highlight w:val="none"/>
        </w:rPr>
        <w:t>规定由供应商承担采购代理服务费的，供应商应按照</w:t>
      </w:r>
      <w:r>
        <w:rPr>
          <w:rFonts w:hint="eastAsia" w:ascii="黑体" w:hAnsi="黑体" w:eastAsia="黑体" w:cs="黑体"/>
          <w:iCs/>
          <w:color w:val="auto"/>
          <w:highlight w:val="none"/>
        </w:rPr>
        <w:t>供应商须知前附表</w:t>
      </w:r>
      <w:r>
        <w:rPr>
          <w:rFonts w:hint="eastAsia" w:ascii="Times New Roman" w:hAnsi="Times New Roman"/>
          <w:color w:val="auto"/>
          <w:highlight w:val="none"/>
        </w:rPr>
        <w:t>规定的费用标准或金额、交费时间和方式向采购代理机构支付代理服务费。</w:t>
      </w:r>
    </w:p>
    <w:p>
      <w:pPr>
        <w:pStyle w:val="2"/>
        <w:spacing w:line="240" w:lineRule="auto"/>
        <w:ind w:firstLine="137"/>
        <w:rPr>
          <w:rFonts w:ascii="Times New Roman" w:hAnsi="Times New Roman"/>
          <w:color w:val="auto"/>
          <w:highlight w:val="none"/>
        </w:rPr>
      </w:pPr>
      <w:bookmarkStart w:id="225" w:name="_Toc23843"/>
      <w:r>
        <w:rPr>
          <w:rFonts w:hint="eastAsia" w:ascii="Times New Roman" w:hAnsi="Times New Roman"/>
          <w:color w:val="auto"/>
          <w:highlight w:val="none"/>
        </w:rPr>
        <w:t>10</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其他</w:t>
      </w:r>
      <w:bookmarkEnd w:id="225"/>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需要补充的其他内容：见</w:t>
      </w:r>
      <w:r>
        <w:rPr>
          <w:rFonts w:hint="eastAsia" w:ascii="黑体" w:hAnsi="黑体" w:eastAsia="黑体" w:cs="黑体"/>
          <w:iCs/>
          <w:color w:val="auto"/>
          <w:highlight w:val="none"/>
        </w:rPr>
        <w:t>供应商须知前附表</w:t>
      </w:r>
      <w:r>
        <w:rPr>
          <w:rFonts w:ascii="Times New Roman" w:hAnsi="Times New Roman"/>
          <w:color w:val="auto"/>
          <w:highlight w:val="none"/>
        </w:rPr>
        <w:t>。</w:t>
      </w:r>
    </w:p>
    <w:p>
      <w:pPr>
        <w:widowControl/>
        <w:jc w:val="left"/>
        <w:rPr>
          <w:rFonts w:ascii="Times New Roman" w:hAnsi="Times New Roman" w:eastAsia="黑体"/>
          <w:color w:val="auto"/>
          <w:sz w:val="28"/>
          <w:szCs w:val="20"/>
          <w:highlight w:val="none"/>
        </w:rPr>
      </w:pPr>
      <w:bookmarkStart w:id="226" w:name="_Toc501460705"/>
      <w:r>
        <w:rPr>
          <w:rFonts w:ascii="Times New Roman" w:hAnsi="Times New Roman"/>
          <w:color w:val="auto"/>
          <w:highlight w:val="none"/>
        </w:rPr>
        <w:br w:type="page"/>
      </w:r>
    </w:p>
    <w:bookmarkEnd w:id="226"/>
    <w:p>
      <w:pPr>
        <w:pStyle w:val="2"/>
        <w:ind w:firstLine="137"/>
        <w:rPr>
          <w:rFonts w:ascii="Times New Roman" w:hAnsi="Times New Roman"/>
          <w:color w:val="auto"/>
          <w:highlight w:val="none"/>
        </w:rPr>
      </w:pPr>
      <w:bookmarkStart w:id="227" w:name="_Toc14774"/>
      <w:bookmarkStart w:id="228" w:name="_Toc501460706"/>
      <w:r>
        <w:rPr>
          <w:rFonts w:ascii="Times New Roman" w:hAnsi="Times New Roman"/>
          <w:color w:val="auto"/>
          <w:highlight w:val="none"/>
        </w:rPr>
        <w:t>附件</w:t>
      </w:r>
      <w:r>
        <w:rPr>
          <w:rFonts w:hint="eastAsia" w:ascii="Times New Roman" w:hAnsi="Times New Roman"/>
          <w:color w:val="auto"/>
          <w:highlight w:val="none"/>
          <w:lang w:val="en-US" w:eastAsia="zh-CN"/>
        </w:rPr>
        <w:t>1</w:t>
      </w:r>
      <w:r>
        <w:rPr>
          <w:rFonts w:ascii="Times New Roman" w:hAnsi="Times New Roman"/>
          <w:color w:val="auto"/>
          <w:highlight w:val="none"/>
        </w:rPr>
        <w:t>：问题澄清通知</w:t>
      </w:r>
      <w:bookmarkEnd w:id="227"/>
      <w:bookmarkEnd w:id="228"/>
    </w:p>
    <w:p>
      <w:pPr>
        <w:spacing w:line="440" w:lineRule="exact"/>
        <w:jc w:val="center"/>
        <w:rPr>
          <w:rFonts w:ascii="Times New Roman" w:hAnsi="Times New Roman"/>
          <w:color w:val="auto"/>
          <w:highlight w:val="none"/>
        </w:rPr>
      </w:pPr>
    </w:p>
    <w:p>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pPr>
        <w:spacing w:line="44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r>
        <w:rPr>
          <w:rFonts w:ascii="楷体" w:hAnsi="楷体" w:eastAsia="楷体"/>
          <w:color w:val="auto"/>
          <w:sz w:val="28"/>
          <w:highlight w:val="none"/>
          <w:u w:val="single"/>
        </w:rPr>
        <w:t xml:space="preserve">               </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hint="eastAsia" w:ascii="Times New Roman" w:hAnsi="Times New Roman"/>
          <w:color w:val="auto"/>
          <w:highlight w:val="none"/>
          <w:u w:val="single"/>
        </w:rPr>
        <w:t>供应商</w:t>
      </w:r>
      <w:r>
        <w:rPr>
          <w:rFonts w:ascii="Times New Roman" w:hAnsi="Times New Roman"/>
          <w:color w:val="auto"/>
          <w:highlight w:val="none"/>
          <w:u w:val="single"/>
        </w:rPr>
        <w:t>名称）</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r>
        <w:rPr>
          <w:rFonts w:ascii="Times New Roman" w:hAnsi="Times New Roman"/>
          <w:color w:val="auto"/>
          <w:highlight w:val="none"/>
        </w:rPr>
        <w:t>　　</w:t>
      </w:r>
      <w:r>
        <w:rPr>
          <w:rFonts w:hint="eastAsia" w:ascii="Times New Roman" w:hAnsi="Times New Roman"/>
          <w:color w:val="auto"/>
          <w:highlight w:val="none"/>
        </w:rPr>
        <w:t>评审小组</w:t>
      </w:r>
      <w:r>
        <w:rPr>
          <w:rFonts w:ascii="Times New Roman" w:hAnsi="Times New Roman"/>
          <w:color w:val="auto"/>
          <w:highlight w:val="none"/>
        </w:rPr>
        <w:t>对你方的</w:t>
      </w:r>
      <w:r>
        <w:rPr>
          <w:rFonts w:hint="eastAsia" w:ascii="Times New Roman" w:hAnsi="Times New Roman"/>
          <w:color w:val="auto"/>
          <w:highlight w:val="none"/>
        </w:rPr>
        <w:t>响应文件</w:t>
      </w:r>
      <w:r>
        <w:rPr>
          <w:rFonts w:ascii="Times New Roman" w:hAnsi="Times New Roman"/>
          <w:color w:val="auto"/>
          <w:highlight w:val="none"/>
        </w:rPr>
        <w:t>进行了仔细的审查，现需你方对下列问题以书</w:t>
      </w:r>
      <w:bookmarkStart w:id="229" w:name="_Toc144974544"/>
      <w:bookmarkStart w:id="230" w:name="_Toc369531565"/>
      <w:bookmarkStart w:id="231" w:name="_Toc352691521"/>
      <w:bookmarkStart w:id="232" w:name="_Toc247527601"/>
      <w:bookmarkStart w:id="233" w:name="_Toc384308260"/>
      <w:bookmarkStart w:id="234" w:name="_Toc361508634"/>
      <w:bookmarkStart w:id="235" w:name="_Toc152045576"/>
      <w:bookmarkStart w:id="236" w:name="_Toc247514000"/>
      <w:bookmarkStart w:id="237" w:name="_Toc23050"/>
      <w:bookmarkStart w:id="238" w:name="_Toc300834996"/>
      <w:bookmarkStart w:id="239" w:name="_Toc152042352"/>
      <w:r>
        <w:rPr>
          <w:rFonts w:ascii="Times New Roman" w:hAnsi="Times New Roman"/>
          <w:color w:val="auto"/>
          <w:highlight w:val="none"/>
        </w:rPr>
        <w:t>面形式予以</w:t>
      </w:r>
      <w:r>
        <w:rPr>
          <w:rFonts w:hint="eastAsia" w:ascii="Times New Roman" w:hAnsi="Times New Roman"/>
          <w:color w:val="auto"/>
          <w:highlight w:val="none"/>
        </w:rPr>
        <w:t>澄清、说明和补正</w:t>
      </w:r>
      <w:r>
        <w:rPr>
          <w:rFonts w:ascii="Times New Roman" w:hAnsi="Times New Roman"/>
          <w:color w:val="auto"/>
          <w:highlight w:val="none"/>
        </w:rPr>
        <w:t>：</w:t>
      </w:r>
    </w:p>
    <w:p>
      <w:pPr>
        <w:spacing w:line="440" w:lineRule="exact"/>
        <w:rPr>
          <w:rFonts w:ascii="Times New Roman" w:hAnsi="Times New Roman"/>
          <w:color w:val="auto"/>
          <w:highlight w:val="none"/>
        </w:rPr>
      </w:pPr>
      <w:r>
        <w:rPr>
          <w:rFonts w:ascii="Times New Roman" w:hAnsi="Times New Roman"/>
          <w:color w:val="auto"/>
          <w:highlight w:val="none"/>
        </w:rPr>
        <w:t>　　</w:t>
      </w:r>
    </w:p>
    <w:bookmarkEnd w:id="229"/>
    <w:bookmarkEnd w:id="230"/>
    <w:bookmarkEnd w:id="231"/>
    <w:bookmarkEnd w:id="232"/>
    <w:bookmarkEnd w:id="233"/>
    <w:bookmarkEnd w:id="234"/>
    <w:bookmarkEnd w:id="235"/>
    <w:bookmarkEnd w:id="236"/>
    <w:bookmarkEnd w:id="237"/>
    <w:bookmarkEnd w:id="238"/>
    <w:bookmarkEnd w:id="239"/>
    <w:p>
      <w:pPr>
        <w:spacing w:line="440" w:lineRule="exact"/>
        <w:rPr>
          <w:rFonts w:ascii="Times New Roman" w:hAnsi="Times New Roman"/>
          <w:color w:val="auto"/>
          <w:highlight w:val="none"/>
        </w:rPr>
      </w:pPr>
      <w:r>
        <w:rPr>
          <w:rFonts w:ascii="Times New Roman" w:hAnsi="Times New Roman"/>
          <w:color w:val="auto"/>
          <w:highlight w:val="none"/>
        </w:rPr>
        <w:t xml:space="preserve">    1.</w:t>
      </w:r>
    </w:p>
    <w:p>
      <w:pPr>
        <w:spacing w:line="440" w:lineRule="exact"/>
        <w:rPr>
          <w:rFonts w:ascii="Times New Roman" w:hAnsi="Times New Roman"/>
          <w:color w:val="auto"/>
          <w:highlight w:val="none"/>
        </w:rPr>
      </w:pPr>
      <w:r>
        <w:rPr>
          <w:rFonts w:ascii="Times New Roman" w:hAnsi="Times New Roman"/>
          <w:color w:val="auto"/>
          <w:highlight w:val="none"/>
        </w:rPr>
        <w:t xml:space="preserve">    2.</w:t>
      </w:r>
    </w:p>
    <w:p>
      <w:pPr>
        <w:spacing w:line="440" w:lineRule="exact"/>
        <w:rPr>
          <w:rFonts w:ascii="Times New Roman" w:hAnsi="Times New Roman"/>
          <w:color w:val="auto"/>
          <w:highlight w:val="none"/>
        </w:rPr>
      </w:pPr>
      <w:r>
        <w:rPr>
          <w:rFonts w:ascii="Times New Roman" w:hAnsi="Times New Roman"/>
          <w:color w:val="auto"/>
          <w:highlight w:val="none"/>
        </w:rPr>
        <w:t xml:space="preserve">     ......   </w:t>
      </w:r>
    </w:p>
    <w:p>
      <w:pPr>
        <w:spacing w:line="440" w:lineRule="exact"/>
        <w:rPr>
          <w:rFonts w:ascii="Times New Roman" w:hAnsi="Times New Roman"/>
          <w:color w:val="auto"/>
          <w:highlight w:val="none"/>
        </w:rPr>
      </w:pPr>
      <w:r>
        <w:rPr>
          <w:rFonts w:ascii="Times New Roman" w:hAnsi="Times New Roman"/>
          <w:color w:val="auto"/>
          <w:highlight w:val="none"/>
        </w:rPr>
        <w:t>　　　</w:t>
      </w:r>
    </w:p>
    <w:p>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w:t>
      </w:r>
      <w:r>
        <w:rPr>
          <w:rFonts w:hint="eastAsia" w:ascii="Times New Roman" w:hAnsi="Times New Roman"/>
          <w:color w:val="auto"/>
          <w:highlight w:val="none"/>
        </w:rPr>
        <w:t>澄清、说明和补正</w:t>
      </w:r>
      <w:r>
        <w:rPr>
          <w:rFonts w:ascii="Times New Roman" w:hAnsi="Times New Roman"/>
          <w:color w:val="auto"/>
          <w:highlight w:val="none"/>
        </w:rPr>
        <w:t>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240" w:name="_Toc361508635"/>
      <w:bookmarkStart w:id="241" w:name="_Toc384308261"/>
      <w:bookmarkStart w:id="242" w:name="_Toc247527602"/>
      <w:bookmarkStart w:id="243" w:name="_Toc152045577"/>
      <w:bookmarkStart w:id="244" w:name="_Toc369531566"/>
      <w:bookmarkStart w:id="245" w:name="_Toc152042353"/>
      <w:bookmarkStart w:id="246" w:name="_Toc144974545"/>
      <w:bookmarkStart w:id="247" w:name="_Toc28385"/>
      <w:bookmarkStart w:id="248" w:name="_Toc300834997"/>
      <w:bookmarkStart w:id="249" w:name="_Toc247514001"/>
      <w:bookmarkStart w:id="250" w:name="_Toc352691522"/>
      <w:r>
        <w:rPr>
          <w:rFonts w:ascii="Times New Roman" w:hAnsi="Times New Roman"/>
          <w:color w:val="auto"/>
          <w:highlight w:val="none"/>
          <w:u w:val="single"/>
        </w:rPr>
        <w:t xml:space="preserve">        （详细地址）</w:t>
      </w:r>
      <w:r>
        <w:rPr>
          <w:rFonts w:ascii="Times New Roman" w:hAnsi="Times New Roman"/>
          <w:color w:val="auto"/>
          <w:highlight w:val="none"/>
        </w:rPr>
        <w:t>或</w:t>
      </w:r>
      <w:r>
        <w:rPr>
          <w:rFonts w:hint="eastAsia" w:ascii="Times New Roman" w:hAnsi="Times New Roman"/>
          <w:color w:val="auto"/>
          <w:highlight w:val="none"/>
        </w:rPr>
        <w:t>发电子邮件</w:t>
      </w:r>
      <w:r>
        <w:rPr>
          <w:rFonts w:ascii="Times New Roman" w:hAnsi="Times New Roman"/>
          <w:color w:val="auto"/>
          <w:highlight w:val="none"/>
        </w:rPr>
        <w:t>至</w:t>
      </w:r>
      <w:bookmarkEnd w:id="240"/>
      <w:bookmarkEnd w:id="241"/>
      <w:bookmarkEnd w:id="242"/>
      <w:bookmarkEnd w:id="243"/>
      <w:bookmarkEnd w:id="244"/>
      <w:bookmarkEnd w:id="245"/>
      <w:bookmarkEnd w:id="246"/>
      <w:bookmarkEnd w:id="247"/>
      <w:bookmarkEnd w:id="248"/>
      <w:bookmarkEnd w:id="249"/>
      <w:bookmarkEnd w:id="250"/>
      <w:r>
        <w:rPr>
          <w:rFonts w:ascii="Times New Roman" w:hAnsi="Times New Roman"/>
          <w:color w:val="auto"/>
          <w:highlight w:val="none"/>
          <w:u w:val="single"/>
        </w:rPr>
        <w:t xml:space="preserve">                     （</w:t>
      </w:r>
      <w:r>
        <w:rPr>
          <w:rFonts w:hint="eastAsia" w:ascii="Times New Roman" w:hAnsi="Times New Roman"/>
          <w:color w:val="auto"/>
          <w:highlight w:val="none"/>
          <w:u w:val="single"/>
        </w:rPr>
        <w:t>电子邮箱地址</w:t>
      </w:r>
      <w:r>
        <w:rPr>
          <w:rFonts w:ascii="Times New Roman" w:hAnsi="Times New Roman"/>
          <w:color w:val="auto"/>
          <w:highlight w:val="none"/>
          <w:u w:val="single"/>
        </w:rPr>
        <w:t>）</w:t>
      </w:r>
      <w:r>
        <w:rPr>
          <w:rFonts w:ascii="Times New Roman" w:hAnsi="Times New Roman"/>
          <w:color w:val="auto"/>
          <w:highlight w:val="none"/>
        </w:rPr>
        <w:t>。采用</w:t>
      </w:r>
      <w:r>
        <w:rPr>
          <w:rFonts w:hint="eastAsia" w:ascii="Times New Roman" w:hAnsi="Times New Roman"/>
          <w:color w:val="auto"/>
          <w:highlight w:val="none"/>
        </w:rPr>
        <w:t>电子邮件</w:t>
      </w:r>
      <w:r>
        <w:rPr>
          <w:rFonts w:ascii="Times New Roman" w:hAnsi="Times New Roman"/>
          <w:color w:val="auto"/>
          <w:highlight w:val="none"/>
        </w:rPr>
        <w:t>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hint="eastAsia" w:ascii="Times New Roman" w:hAnsi="Times New Roman"/>
          <w:color w:val="auto"/>
          <w:highlight w:val="non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（详细地址）</w:t>
      </w:r>
      <w:r>
        <w:rPr>
          <w:rFonts w:ascii="Times New Roman" w:hAnsi="Times New Roman"/>
          <w:color w:val="auto"/>
          <w:highlight w:val="none"/>
        </w:rPr>
        <w:t>。</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ind w:firstLine="2100" w:firstLineChars="1000"/>
        <w:rPr>
          <w:rFonts w:ascii="Times New Roman" w:hAnsi="Times New Roman"/>
          <w:color w:val="auto"/>
          <w:highlight w:val="none"/>
        </w:rPr>
      </w:pPr>
      <w:r>
        <w:rPr>
          <w:rFonts w:hint="eastAsia" w:ascii="Times New Roman" w:hAnsi="Times New Roman"/>
          <w:color w:val="auto"/>
          <w:highlight w:val="none"/>
        </w:rPr>
        <w:t>采购人（或采购代理机构）：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w:t>
      </w:r>
      <w:r>
        <w:rPr>
          <w:rFonts w:hint="eastAsia" w:ascii="Times New Roman" w:hAnsi="Times New Roman"/>
          <w:color w:val="auto"/>
          <w:highlight w:val="none"/>
          <w:u w:val="single"/>
        </w:rPr>
        <w:t>签字或</w:t>
      </w:r>
      <w:r>
        <w:rPr>
          <w:rFonts w:ascii="Times New Roman" w:hAnsi="Times New Roman"/>
          <w:color w:val="auto"/>
          <w:highlight w:val="none"/>
          <w:u w:val="single"/>
        </w:rPr>
        <w:t>盖单位章）</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bookmarkStart w:id="251" w:name="_Toc152042355"/>
      <w:bookmarkStart w:id="252" w:name="_Toc144974546"/>
    </w:p>
    <w:p>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ind w:firstLine="137"/>
        <w:rPr>
          <w:rFonts w:ascii="Times New Roman" w:hAnsi="Times New Roman"/>
          <w:color w:val="auto"/>
          <w:highlight w:val="none"/>
        </w:rPr>
      </w:pPr>
      <w:bookmarkStart w:id="253" w:name="_Toc28139"/>
      <w:bookmarkStart w:id="254" w:name="_Toc501460707"/>
      <w:r>
        <w:rPr>
          <w:rFonts w:ascii="Times New Roman" w:hAnsi="Times New Roman"/>
          <w:color w:val="auto"/>
          <w:highlight w:val="none"/>
        </w:rPr>
        <w:t>附件</w:t>
      </w:r>
      <w:r>
        <w:rPr>
          <w:rFonts w:hint="eastAsia" w:ascii="Times New Roman" w:hAnsi="Times New Roman"/>
          <w:color w:val="auto"/>
          <w:highlight w:val="none"/>
          <w:lang w:val="en-US" w:eastAsia="zh-CN"/>
        </w:rPr>
        <w:t>2</w:t>
      </w:r>
      <w:r>
        <w:rPr>
          <w:rFonts w:ascii="Times New Roman" w:hAnsi="Times New Roman"/>
          <w:color w:val="auto"/>
          <w:highlight w:val="none"/>
        </w:rPr>
        <w:t>：问题的澄清</w:t>
      </w:r>
      <w:bookmarkEnd w:id="253"/>
      <w:bookmarkEnd w:id="254"/>
    </w:p>
    <w:p>
      <w:pPr>
        <w:spacing w:line="400" w:lineRule="exact"/>
        <w:jc w:val="center"/>
        <w:rPr>
          <w:rFonts w:ascii="Times New Roman" w:hAnsi="Times New Roman" w:eastAsia="黑体"/>
          <w:color w:val="auto"/>
          <w:sz w:val="28"/>
          <w:highlight w:val="none"/>
        </w:rPr>
      </w:pPr>
    </w:p>
    <w:p>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251"/>
      <w:r>
        <w:rPr>
          <w:rFonts w:ascii="Times New Roman" w:hAnsi="Times New Roman" w:eastAsia="黑体"/>
          <w:color w:val="auto"/>
          <w:sz w:val="28"/>
          <w:highlight w:val="none"/>
        </w:rPr>
        <w:t>题</w:t>
      </w:r>
      <w:bookmarkStart w:id="255" w:name="_Toc152042356"/>
      <w:bookmarkStart w:id="256" w:name="_Toc152045579"/>
      <w:bookmarkStart w:id="257" w:name="_Toc384308263"/>
      <w:bookmarkStart w:id="258" w:name="_Toc247527604"/>
      <w:bookmarkStart w:id="259" w:name="_Toc361508637"/>
      <w:bookmarkStart w:id="260" w:name="_Toc3622"/>
      <w:bookmarkStart w:id="261" w:name="_Toc352691524"/>
      <w:bookmarkStart w:id="262" w:name="_Toc369531568"/>
      <w:bookmarkStart w:id="263" w:name="_Toc247514003"/>
      <w:bookmarkStart w:id="264" w:name="_Toc300834999"/>
      <w:r>
        <w:rPr>
          <w:rFonts w:ascii="Times New Roman" w:hAnsi="Times New Roman" w:eastAsia="黑体"/>
          <w:color w:val="auto"/>
          <w:sz w:val="28"/>
          <w:highlight w:val="none"/>
        </w:rPr>
        <w:t>的澄清</w:t>
      </w:r>
    </w:p>
    <w:p>
      <w:pPr>
        <w:spacing w:line="400" w:lineRule="exact"/>
        <w:jc w:val="center"/>
        <w:rPr>
          <w:rFonts w:ascii="Times New Roman" w:hAnsi="Times New Roman"/>
          <w:color w:val="auto"/>
          <w:highlight w:val="none"/>
        </w:rPr>
      </w:pPr>
      <w:r>
        <w:rPr>
          <w:rFonts w:ascii="Times New Roman" w:hAnsi="Times New Roman"/>
          <w:color w:val="auto"/>
          <w:highlight w:val="none"/>
        </w:rPr>
        <w:t>（</w:t>
      </w:r>
      <w:r>
        <w:rPr>
          <w:rFonts w:ascii="楷体" w:hAnsi="楷体" w:eastAsia="楷体"/>
          <w:color w:val="auto"/>
          <w:highlight w:val="none"/>
        </w:rPr>
        <w:t>编号</w:t>
      </w:r>
      <w:bookmarkEnd w:id="252"/>
      <w:bookmarkEnd w:id="255"/>
      <w:bookmarkEnd w:id="256"/>
      <w:bookmarkEnd w:id="257"/>
      <w:bookmarkEnd w:id="258"/>
      <w:bookmarkEnd w:id="259"/>
      <w:bookmarkEnd w:id="260"/>
      <w:bookmarkEnd w:id="261"/>
      <w:bookmarkEnd w:id="262"/>
      <w:bookmarkEnd w:id="263"/>
      <w:bookmarkEnd w:id="264"/>
      <w:r>
        <w:rPr>
          <w:rFonts w:ascii="楷体" w:hAnsi="楷体" w:eastAsia="楷体"/>
          <w:color w:val="auto"/>
          <w:highlight w:val="none"/>
        </w:rPr>
        <w:t>：</w:t>
      </w:r>
      <w:r>
        <w:rPr>
          <w:rFonts w:ascii="楷体" w:hAnsi="楷体" w:eastAsia="楷体"/>
          <w:color w:val="auto"/>
          <w:sz w:val="28"/>
          <w:highlight w:val="none"/>
          <w:u w:val="single"/>
        </w:rPr>
        <w:t xml:space="preserve">           </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w:t>
      </w:r>
      <w:r>
        <w:rPr>
          <w:rFonts w:hint="eastAsia" w:ascii="Times New Roman" w:hAnsi="Times New Roman"/>
          <w:color w:val="auto"/>
          <w:highlight w:val="none"/>
        </w:rPr>
        <w:t>澄清、说明和补正</w:t>
      </w:r>
      <w:r>
        <w:rPr>
          <w:rFonts w:ascii="Times New Roman" w:hAnsi="Times New Roman"/>
          <w:color w:val="auto"/>
          <w:highlight w:val="none"/>
        </w:rPr>
        <w:t>如下：</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1.</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2.</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上述问题</w:t>
      </w:r>
      <w:r>
        <w:rPr>
          <w:rFonts w:hint="eastAsia" w:ascii="Times New Roman" w:hAnsi="Times New Roman"/>
          <w:color w:val="auto"/>
          <w:highlight w:val="none"/>
        </w:rPr>
        <w:t>澄清、说明和补正</w:t>
      </w:r>
      <w:r>
        <w:rPr>
          <w:rFonts w:ascii="Times New Roman" w:hAnsi="Times New Roman"/>
          <w:color w:val="auto"/>
          <w:highlight w:val="none"/>
        </w:rPr>
        <w:t>，不改变我方响应文件的实质性内容</w:t>
      </w:r>
      <w:r>
        <w:rPr>
          <w:rFonts w:hint="eastAsia" w:ascii="Times New Roman" w:hAnsi="Times New Roman"/>
          <w:color w:val="auto"/>
          <w:highlight w:val="none"/>
        </w:rPr>
        <w:t>，</w:t>
      </w:r>
      <w:r>
        <w:rPr>
          <w:rFonts w:ascii="Times New Roman" w:hAnsi="Times New Roman"/>
          <w:color w:val="auto"/>
          <w:highlight w:val="none"/>
        </w:rPr>
        <w:t>构成我方</w:t>
      </w:r>
      <w:r>
        <w:rPr>
          <w:rFonts w:hint="eastAsia" w:ascii="Times New Roman" w:hAnsi="Times New Roman"/>
          <w:color w:val="auto"/>
          <w:highlight w:val="none"/>
        </w:rPr>
        <w:t>响应文件</w:t>
      </w:r>
      <w:r>
        <w:rPr>
          <w:rFonts w:ascii="Times New Roman" w:hAnsi="Times New Roman"/>
          <w:color w:val="auto"/>
          <w:highlight w:val="none"/>
        </w:rPr>
        <w:t>的组成部分。</w:t>
      </w:r>
    </w:p>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u w:val="single"/>
        </w:rPr>
        <w:t>（盖单位章）</w:t>
      </w:r>
    </w:p>
    <w:p>
      <w:pPr>
        <w:adjustRightInd w:val="0"/>
        <w:snapToGrid w:val="0"/>
        <w:spacing w:line="360" w:lineRule="auto"/>
        <w:ind w:firstLine="2520" w:firstLineChars="1200"/>
        <w:rPr>
          <w:rFonts w:ascii="Times New Roman" w:hAnsi="Times New Roman"/>
          <w:color w:val="auto"/>
          <w:highlight w:val="none"/>
        </w:rPr>
      </w:pPr>
      <w:r>
        <w:rPr>
          <w:rFonts w:hint="eastAsia" w:ascii="Times New Roman" w:hAnsi="Times New Roman"/>
          <w:color w:val="auto"/>
          <w:highlight w:val="none"/>
        </w:rPr>
        <w:t>或</w:t>
      </w:r>
    </w:p>
    <w:p>
      <w:pPr>
        <w:adjustRightInd w:val="0"/>
        <w:snapToGrid w:val="0"/>
        <w:spacing w:line="360" w:lineRule="auto"/>
        <w:ind w:firstLine="2520" w:firstLineChars="1200"/>
        <w:rPr>
          <w:rFonts w:ascii="Times New Roman" w:hAnsi="Times New Roman"/>
          <w:color w:val="auto"/>
          <w:highlight w:val="none"/>
        </w:rPr>
      </w:pPr>
      <w:r>
        <w:rPr>
          <w:rFonts w:ascii="Times New Roman" w:hAnsi="Times New Roman"/>
          <w:color w:val="auto"/>
          <w:highlight w:val="none"/>
        </w:rPr>
        <w:t>法定代表人（单位负责人）或其委托代理人：</w:t>
      </w:r>
      <w:r>
        <w:rPr>
          <w:rFonts w:ascii="Times New Roman" w:hAnsi="Times New Roman"/>
          <w:color w:val="auto"/>
          <w:highlight w:val="none"/>
          <w:u w:val="single"/>
        </w:rPr>
        <w:t xml:space="preserve">        （签字）</w:t>
      </w: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t>　　　　　　　　　　　　　　　</w:t>
      </w:r>
    </w:p>
    <w:p>
      <w:pPr>
        <w:adjustRightInd w:val="0"/>
        <w:snapToGrid w:val="0"/>
        <w:spacing w:line="360" w:lineRule="auto"/>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265" w:name="_Toc247514005"/>
      <w:bookmarkStart w:id="266" w:name="_Toc384308266"/>
      <w:bookmarkStart w:id="267" w:name="_Toc15139"/>
      <w:bookmarkStart w:id="268" w:name="_Toc144974548"/>
      <w:bookmarkStart w:id="269" w:name="_Toc152042358"/>
      <w:bookmarkStart w:id="270" w:name="_Toc300835002"/>
      <w:bookmarkStart w:id="271" w:name="_Toc369531571"/>
      <w:bookmarkStart w:id="272" w:name="_Toc247527606"/>
      <w:bookmarkStart w:id="273" w:name="_Toc361508640"/>
      <w:bookmarkStart w:id="274" w:name="_Toc152045581"/>
      <w:bookmarkStart w:id="275" w:name="_Toc352691527"/>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265"/>
    <w:bookmarkEnd w:id="266"/>
    <w:bookmarkEnd w:id="267"/>
    <w:bookmarkEnd w:id="268"/>
    <w:bookmarkEnd w:id="269"/>
    <w:bookmarkEnd w:id="270"/>
    <w:bookmarkEnd w:id="271"/>
    <w:bookmarkEnd w:id="272"/>
    <w:bookmarkEnd w:id="273"/>
    <w:bookmarkEnd w:id="274"/>
    <w:bookmarkEnd w:id="275"/>
    <w:p>
      <w:pPr>
        <w:adjustRightInd w:val="0"/>
        <w:snapToGrid w:val="0"/>
        <w:spacing w:line="360" w:lineRule="auto"/>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r>
        <w:rPr>
          <w:rFonts w:ascii="Times New Roman" w:hAnsi="Times New Roman"/>
          <w:color w:val="auto"/>
          <w:highlight w:val="none"/>
        </w:rPr>
        <w:br w:type="page"/>
      </w:r>
    </w:p>
    <w:p>
      <w:pPr>
        <w:pStyle w:val="2"/>
        <w:ind w:firstLine="137"/>
        <w:rPr>
          <w:rFonts w:hint="eastAsia" w:ascii="Times New Roman" w:hAnsi="Times New Roman" w:eastAsia="黑体"/>
          <w:color w:val="auto"/>
          <w:highlight w:val="none"/>
          <w:lang w:eastAsia="zh-CN"/>
        </w:rPr>
      </w:pPr>
      <w:bookmarkStart w:id="276" w:name="_Toc5248"/>
      <w:bookmarkStart w:id="277" w:name="_Toc501460708"/>
      <w:r>
        <w:rPr>
          <w:rFonts w:ascii="Times New Roman" w:hAnsi="Times New Roman"/>
          <w:color w:val="auto"/>
          <w:highlight w:val="none"/>
        </w:rPr>
        <w:t>附件</w:t>
      </w:r>
      <w:r>
        <w:rPr>
          <w:rFonts w:hint="eastAsia" w:ascii="Times New Roman" w:hAnsi="Times New Roman"/>
          <w:color w:val="auto"/>
          <w:highlight w:val="none"/>
        </w:rPr>
        <w:t>4</w:t>
      </w:r>
      <w:r>
        <w:rPr>
          <w:rFonts w:ascii="Times New Roman" w:hAnsi="Times New Roman"/>
          <w:color w:val="auto"/>
          <w:highlight w:val="none"/>
        </w:rPr>
        <w:t>：</w:t>
      </w:r>
      <w:r>
        <w:rPr>
          <w:rFonts w:hint="eastAsia" w:ascii="Times New Roman" w:hAnsi="Times New Roman"/>
          <w:color w:val="auto"/>
          <w:highlight w:val="none"/>
        </w:rPr>
        <w:t>成交</w:t>
      </w:r>
      <w:r>
        <w:rPr>
          <w:rFonts w:ascii="Times New Roman" w:hAnsi="Times New Roman"/>
          <w:color w:val="auto"/>
          <w:highlight w:val="none"/>
        </w:rPr>
        <w:t>通知书</w:t>
      </w:r>
      <w:bookmarkEnd w:id="276"/>
      <w:bookmarkEnd w:id="277"/>
      <w:r>
        <w:rPr>
          <w:rFonts w:hint="eastAsia" w:ascii="Times New Roman" w:hAnsi="Times New Roman"/>
          <w:color w:val="auto"/>
          <w:highlight w:val="none"/>
          <w:lang w:eastAsia="zh-CN"/>
        </w:rPr>
        <w:t>以中标公告为准</w:t>
      </w: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adjustRightInd w:val="0"/>
        <w:snapToGrid w:val="0"/>
        <w:spacing w:line="360" w:lineRule="auto"/>
        <w:rPr>
          <w:rFonts w:ascii="Times New Roman" w:hAnsi="Times New Roman"/>
          <w:color w:val="auto"/>
          <w:highlight w:val="none"/>
        </w:rPr>
      </w:pPr>
    </w:p>
    <w:p>
      <w:pPr>
        <w:spacing w:line="400" w:lineRule="exact"/>
        <w:rPr>
          <w:rFonts w:ascii="Times New Roman" w:hAnsi="Times New Roman"/>
          <w:color w:val="auto"/>
          <w:highlight w:val="none"/>
        </w:rPr>
      </w:pPr>
      <w:r>
        <w:rPr>
          <w:rFonts w:ascii="Times New Roman" w:hAnsi="Times New Roman"/>
          <w:color w:val="auto"/>
          <w:highlight w:val="none"/>
        </w:rPr>
        <w:br w:type="page"/>
      </w:r>
    </w:p>
    <w:p>
      <w:pPr>
        <w:spacing w:line="400" w:lineRule="exact"/>
        <w:rPr>
          <w:rFonts w:ascii="Times New Roman" w:hAnsi="Times New Roman"/>
          <w:color w:val="auto"/>
          <w:highlight w:val="none"/>
        </w:rPr>
      </w:pPr>
    </w:p>
    <w:p>
      <w:pPr>
        <w:pStyle w:val="3"/>
        <w:spacing w:line="240" w:lineRule="auto"/>
        <w:jc w:val="center"/>
        <w:rPr>
          <w:color w:val="000000"/>
          <w:highlight w:val="none"/>
        </w:rPr>
      </w:pPr>
      <w:bookmarkStart w:id="278" w:name="_Toc26227"/>
      <w:bookmarkStart w:id="279" w:name="_Toc501460713"/>
      <w:r>
        <w:rPr>
          <w:color w:val="000000"/>
          <w:highlight w:val="none"/>
        </w:rPr>
        <w:t>第三章</w:t>
      </w:r>
      <w:r>
        <w:rPr>
          <w:rFonts w:hint="eastAsia"/>
          <w:color w:val="000000"/>
          <w:highlight w:val="none"/>
        </w:rPr>
        <w:t xml:space="preserve">  评审</w:t>
      </w:r>
      <w:r>
        <w:rPr>
          <w:color w:val="000000"/>
          <w:highlight w:val="none"/>
        </w:rPr>
        <w:t>办法</w:t>
      </w:r>
      <w:bookmarkEnd w:id="278"/>
    </w:p>
    <w:p>
      <w:pPr>
        <w:pStyle w:val="4"/>
        <w:spacing w:line="240" w:lineRule="auto"/>
        <w:jc w:val="center"/>
        <w:rPr>
          <w:rFonts w:ascii="Times New Roman" w:hAnsi="Times New Roman"/>
          <w:color w:val="000000"/>
          <w:highlight w:val="none"/>
        </w:rPr>
      </w:pPr>
      <w:bookmarkStart w:id="280" w:name="_Toc9957"/>
      <w:r>
        <w:rPr>
          <w:rFonts w:hint="eastAsia" w:ascii="Times New Roman" w:hAnsi="Times New Roman"/>
          <w:color w:val="000000"/>
          <w:highlight w:val="none"/>
        </w:rPr>
        <w:t>评审</w:t>
      </w:r>
      <w:r>
        <w:rPr>
          <w:rFonts w:ascii="Times New Roman" w:hAnsi="Times New Roman"/>
          <w:color w:val="000000"/>
          <w:highlight w:val="none"/>
        </w:rPr>
        <w:t>办法前附表</w:t>
      </w:r>
      <w:bookmarkEnd w:id="280"/>
    </w:p>
    <w:tbl>
      <w:tblPr>
        <w:tblStyle w:val="36"/>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085"/>
        <w:gridCol w:w="2317"/>
        <w:gridCol w:w="4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highlight w:val="none"/>
              </w:rPr>
              <w:br w:type="page"/>
            </w:r>
            <w:r>
              <w:rPr>
                <w:rFonts w:ascii="Times New Roman" w:hAnsi="Times New Roman"/>
                <w:b/>
                <w:highlight w:val="none"/>
              </w:rPr>
              <w:t>条款</w:t>
            </w:r>
            <w:r>
              <w:rPr>
                <w:rFonts w:hint="eastAsia" w:ascii="Times New Roman" w:hAnsi="Times New Roman"/>
                <w:b/>
                <w:highlight w:val="none"/>
              </w:rPr>
              <w:t>号及名称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1</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评审方法</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Times New Roman" w:hAnsi="Times New Roman"/>
                <w:highlight w:val="none"/>
              </w:rPr>
            </w:pPr>
            <w:r>
              <w:rPr>
                <w:rFonts w:hint="eastAsia" w:ascii="华文宋体" w:hAnsi="华文宋体" w:eastAsia="华文宋体"/>
                <w:highlight w:val="none"/>
              </w:rPr>
              <w:t>□</w:t>
            </w:r>
            <w:r>
              <w:rPr>
                <w:rFonts w:hint="eastAsia" w:ascii="Times New Roman" w:hAnsi="Times New Roman"/>
                <w:highlight w:val="none"/>
              </w:rPr>
              <w:t>最低价法</w:t>
            </w:r>
          </w:p>
          <w:p>
            <w:pPr>
              <w:adjustRightInd w:val="0"/>
              <w:snapToGrid w:val="0"/>
              <w:jc w:val="left"/>
              <w:rPr>
                <w:rFonts w:ascii="Times New Roman" w:hAnsi="Times New Roman"/>
                <w:highlight w:val="none"/>
              </w:rPr>
            </w:pPr>
            <w:r>
              <w:rPr>
                <w:rFonts w:hint="eastAsia" w:ascii="华文宋体" w:hAnsi="华文宋体" w:eastAsia="华文宋体"/>
                <w:highlight w:val="none"/>
                <w:lang w:eastAsia="zh-CN"/>
              </w:rPr>
              <w:t>☑</w:t>
            </w:r>
            <w:r>
              <w:rPr>
                <w:rFonts w:hint="eastAsia" w:ascii="Times New Roman" w:hAnsi="Times New Roman"/>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2.1.1</w:t>
            </w:r>
          </w:p>
        </w:tc>
        <w:tc>
          <w:tcPr>
            <w:tcW w:w="1085"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形式评审标准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名称</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与</w:t>
            </w:r>
            <w:r>
              <w:rPr>
                <w:rFonts w:hint="eastAsia"/>
                <w:highlight w:val="none"/>
              </w:rPr>
              <w:t>市场监管</w:t>
            </w:r>
            <w:r>
              <w:rPr>
                <w:highlight w:val="none"/>
              </w:rPr>
              <w:t>部门或其他行政机关颁发的可以合法开展业务的执照或证书</w:t>
            </w:r>
            <w:r>
              <w:rPr>
                <w:rFonts w:ascii="Times New Roman" w:hAnsi="Times New Roman"/>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w:t>
            </w:r>
            <w:r>
              <w:rPr>
                <w:rFonts w:ascii="Times New Roman" w:hAnsi="Times New Roman"/>
                <w:highlight w:val="none"/>
              </w:rPr>
              <w:t>签字盖章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第二章第3.7.2项的规定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联合体协议书</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响应函中实质性内容</w:t>
            </w:r>
          </w:p>
        </w:tc>
        <w:tc>
          <w:tcPr>
            <w:tcW w:w="4536" w:type="dxa"/>
            <w:tcBorders>
              <w:left w:val="single" w:color="auto" w:sz="4" w:space="0"/>
              <w:bottom w:val="single" w:color="auto" w:sz="4" w:space="0"/>
            </w:tcBorders>
            <w:vAlign w:val="center"/>
          </w:tcPr>
          <w:p>
            <w:pPr>
              <w:adjustRightInd w:val="0"/>
              <w:snapToGrid w:val="0"/>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2.1.2</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资格评审标准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highlight w:val="none"/>
              </w:rPr>
              <w:t>依法设立</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w:t>
            </w:r>
            <w:r>
              <w:rPr>
                <w:rFonts w:ascii="Times New Roman" w:hAnsi="Times New Roman"/>
                <w:highlight w:val="none"/>
              </w:rPr>
              <w:t>第3.5</w:t>
            </w:r>
            <w:r>
              <w:rPr>
                <w:rFonts w:hint="eastAsia" w:ascii="Times New Roman" w:hAnsi="Times New Roman"/>
                <w:highlight w:val="none"/>
              </w:rPr>
              <w:t>（1）款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资质要求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第一章第3.1款及供应商须知前附表第3.5（2）款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财务要求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第一章第3.1款及供应商须知前附表第3.5（3）款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业绩要求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第一章第3.1款及供应商须知前附表第3.5（4）款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信誉要求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第一章第3.1款及供应商须知前附表第3.5（5）款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人员要求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第一章第3.1款及供应商须知前附表第3.5（6）款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其他要求</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第一章第3.1款供应商须知前附表第3.5（7）款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不存在</w:t>
            </w:r>
            <w:r>
              <w:rPr>
                <w:rFonts w:hint="eastAsia" w:ascii="Times New Roman" w:hAnsi="Times New Roman"/>
                <w:highlight w:val="none"/>
              </w:rPr>
              <w:t>第一章第</w:t>
            </w:r>
            <w:r>
              <w:rPr>
                <w:rFonts w:hint="eastAsia" w:ascii="Times New Roman" w:hAnsi="Times New Roman"/>
                <w:color w:val="000000"/>
                <w:szCs w:val="21"/>
                <w:highlight w:val="none"/>
              </w:rPr>
              <w:t>3.2款</w:t>
            </w:r>
            <w:r>
              <w:rPr>
                <w:rFonts w:ascii="Times New Roman" w:hAnsi="Times New Roman"/>
                <w:highlight w:val="none"/>
              </w:rPr>
              <w:t>情形</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第一章第3.2款及供应商须知前附表第3.5（8）款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联合体</w:t>
            </w:r>
            <w:r>
              <w:rPr>
                <w:rFonts w:hint="eastAsia" w:ascii="Times New Roman" w:hAnsi="Times New Roman"/>
                <w:highlight w:val="none"/>
              </w:rPr>
              <w:t>供应商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w:t>
            </w:r>
            <w:r>
              <w:rPr>
                <w:rFonts w:hint="eastAsia" w:ascii="Times New Roman" w:hAnsi="Times New Roman"/>
                <w:highlight w:val="none"/>
              </w:rPr>
              <w:t>第一章第3.3 款及供应商须知前附表第3.5（9）款</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2.1.3</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响应性评审标准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报价</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olor w:val="548DD4"/>
                <w:highlight w:val="none"/>
              </w:rPr>
            </w:pPr>
            <w:r>
              <w:rPr>
                <w:rFonts w:ascii="Times New Roman" w:hAnsi="Times New Roman"/>
                <w:highlight w:val="none"/>
              </w:rPr>
              <w:t>符合第二章第3.2款规定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响应文件有效期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响应保证金</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highlight w:val="none"/>
              </w:rPr>
              <w:t>符合第二章第3.4</w:t>
            </w:r>
            <w:r>
              <w:rPr>
                <w:rFonts w:hint="eastAsia" w:ascii="Times New Roman" w:hAnsi="Times New Roman"/>
                <w:highlight w:val="none"/>
              </w:rPr>
              <w:t>.1项</w:t>
            </w:r>
            <w:r>
              <w:rPr>
                <w:rFonts w:ascii="Times New Roman" w:hAnsi="Times New Roman"/>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响应方案</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符合第二章第3.6款规定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质量标准</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highlight w:val="none"/>
                <w:lang w:val="en-US" w:eastAsia="zh-CN"/>
              </w:rPr>
              <w:t>交货期</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符合第一章第2条规定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合同条款</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hint="eastAsia" w:ascii="Times New Roman" w:hAnsi="Times New Roman"/>
                <w:highlight w:val="none"/>
              </w:rPr>
              <w:t>符合第二章第1.10.1项规定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top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对非关键条款的</w:t>
            </w:r>
            <w:r>
              <w:rPr>
                <w:rFonts w:ascii="Times New Roman" w:hAnsi="Times New Roman"/>
                <w:color w:val="000000"/>
                <w:highlight w:val="none"/>
              </w:rPr>
              <w:t>偏差</w:t>
            </w:r>
          </w:p>
        </w:tc>
        <w:tc>
          <w:tcPr>
            <w:tcW w:w="4536"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highlight w:val="none"/>
              </w:rPr>
            </w:pPr>
            <w:r>
              <w:rPr>
                <w:rFonts w:ascii="Times New Roman" w:hAnsi="Times New Roman"/>
                <w:color w:val="000000"/>
                <w:highlight w:val="none"/>
              </w:rPr>
              <w:t>偏差范围和</w:t>
            </w:r>
            <w:r>
              <w:rPr>
                <w:rFonts w:hint="eastAsia" w:ascii="Times New Roman" w:hAnsi="Times New Roman"/>
                <w:color w:val="000000"/>
                <w:highlight w:val="none"/>
              </w:rPr>
              <w:t>偏差</w:t>
            </w:r>
            <w:r>
              <w:rPr>
                <w:rFonts w:ascii="Times New Roman" w:hAnsi="Times New Roman"/>
                <w:color w:val="000000"/>
                <w:highlight w:val="none"/>
              </w:rPr>
              <w:t>项数符合</w:t>
            </w:r>
            <w:r>
              <w:rPr>
                <w:rFonts w:hint="eastAsia" w:ascii="Times New Roman" w:hAnsi="Times New Roman"/>
                <w:color w:val="000000"/>
                <w:highlight w:val="none"/>
              </w:rPr>
              <w:t>第二章第1.10.2项的</w:t>
            </w:r>
            <w:r>
              <w:rPr>
                <w:rFonts w:ascii="Times New Roman" w:hAnsi="Times New Roman"/>
                <w:color w:val="000000"/>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2.2.2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color w:val="000000"/>
                <w:highlight w:val="none"/>
              </w:rPr>
              <w:t>评审价格</w:t>
            </w:r>
          </w:p>
        </w:tc>
        <w:tc>
          <w:tcPr>
            <w:tcW w:w="4536" w:type="dxa"/>
            <w:tcBorders>
              <w:top w:val="single" w:color="auto" w:sz="4" w:space="0"/>
              <w:left w:val="single" w:color="auto" w:sz="4" w:space="0"/>
            </w:tcBorders>
            <w:vAlign w:val="center"/>
          </w:tcPr>
          <w:p>
            <w:pPr>
              <w:adjustRightInd w:val="0"/>
              <w:snapToGrid w:val="0"/>
              <w:rPr>
                <w:rFonts w:hint="eastAsia" w:ascii="Times New Roman" w:hAnsi="Times New Roman" w:eastAsia="宋体" w:cs="Times New Roman"/>
                <w:color w:val="000000"/>
                <w:highlight w:val="none"/>
                <w:lang w:val="en-US" w:eastAsia="zh-CN"/>
              </w:rPr>
            </w:pPr>
            <w:r>
              <w:rPr>
                <w:rFonts w:hint="eastAsia" w:ascii="华文宋体" w:hAnsi="华文宋体" w:eastAsia="华文宋体"/>
                <w:highlight w:val="none"/>
              </w:rPr>
              <w:sym w:font="Wingdings 2" w:char="0052"/>
            </w:r>
            <w:r>
              <w:rPr>
                <w:rFonts w:hint="eastAsia" w:ascii="Times New Roman" w:hAnsi="Times New Roman" w:eastAsia="宋体" w:cs="Times New Roman"/>
                <w:color w:val="000000"/>
                <w:highlight w:val="none"/>
                <w:lang w:val="en-US" w:eastAsia="zh-CN"/>
              </w:rPr>
              <w:t>含税价</w:t>
            </w:r>
          </w:p>
          <w:p>
            <w:pPr>
              <w:adjustRightInd w:val="0"/>
              <w:snapToGrid w:val="0"/>
              <w:rPr>
                <w:rFonts w:ascii="Times New Roman"/>
                <w:sz w:val="32"/>
                <w:szCs w:val="32"/>
                <w:highlight w:val="none"/>
              </w:rPr>
            </w:pPr>
            <w:r>
              <w:rPr>
                <w:rFonts w:hint="eastAsia" w:ascii="华文宋体" w:hAnsi="华文宋体" w:eastAsia="华文宋体"/>
                <w:highlight w:val="none"/>
              </w:rPr>
              <w:sym w:font="Wingdings 2" w:char="00A3"/>
            </w:r>
            <w:r>
              <w:rPr>
                <w:rFonts w:hint="eastAsia" w:ascii="Times New Roman" w:hAnsi="Times New Roman" w:eastAsia="宋体" w:cs="Times New Roman"/>
                <w:color w:val="000000"/>
                <w:highlight w:val="none"/>
                <w:lang w:val="en-US" w:eastAsia="zh-CN"/>
              </w:rPr>
              <w:t>不含税价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bottom w:val="single" w:color="auto" w:sz="4" w:space="0"/>
              <w:right w:val="single" w:color="auto" w:sz="4" w:space="0"/>
            </w:tcBorders>
            <w:vAlign w:val="center"/>
          </w:tcPr>
          <w:p>
            <w:pPr>
              <w:adjustRightInd w:val="0"/>
              <w:snapToGrid w:val="0"/>
              <w:jc w:val="center"/>
              <w:rPr>
                <w:rFonts w:ascii="华文宋体" w:hAnsi="华文宋体" w:eastAsia="华文宋体"/>
                <w:highlight w:val="none"/>
              </w:rPr>
            </w:pPr>
            <w:r>
              <w:rPr>
                <w:rFonts w:hint="eastAsia" w:ascii="Times New Roman" w:hAnsi="Times New Roman"/>
                <w:b/>
                <w:highlight w:val="none"/>
              </w:rPr>
              <w:t>3.</w:t>
            </w:r>
            <w:r>
              <w:rPr>
                <w:rFonts w:hint="eastAsia"/>
                <w:highlight w:val="none"/>
              </w:rPr>
              <w:t xml:space="preserve"> </w:t>
            </w:r>
            <w:r>
              <w:rPr>
                <w:rFonts w:hint="eastAsia" w:ascii="Times New Roman" w:hAnsi="Times New Roman"/>
                <w:b/>
                <w:highlight w:val="none"/>
              </w:rPr>
              <w:t>详细评审标准和程序（综合评分法）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1</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ascii="Times New Roman" w:hAnsi="Times New Roman"/>
                <w:highlight w:val="none"/>
              </w:rPr>
              <w:t>分值构成</w:t>
            </w:r>
          </w:p>
          <w:p>
            <w:pPr>
              <w:adjustRightInd w:val="0"/>
              <w:snapToGrid w:val="0"/>
              <w:jc w:val="center"/>
              <w:rPr>
                <w:rFonts w:ascii="Times New Roman" w:hAnsi="Times New Roman"/>
                <w:highlight w:val="none"/>
              </w:rPr>
            </w:pPr>
            <w:r>
              <w:rPr>
                <w:rFonts w:ascii="Times New Roman" w:hAnsi="Times New Roman"/>
                <w:highlight w:val="none"/>
              </w:rPr>
              <w:t>(总分100分)</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highlight w:val="none"/>
              </w:rPr>
            </w:pPr>
            <w:r>
              <w:rPr>
                <w:rFonts w:hint="eastAsia" w:ascii="宋体" w:hAnsi="宋体" w:eastAsia="宋体"/>
                <w:highlight w:val="none"/>
              </w:rPr>
              <w:t>（1）</w:t>
            </w:r>
            <w:r>
              <w:rPr>
                <w:rFonts w:ascii="宋体" w:hAnsi="宋体" w:eastAsia="宋体"/>
                <w:highlight w:val="none"/>
              </w:rPr>
              <w:t>商务部分：</w:t>
            </w:r>
            <w:r>
              <w:rPr>
                <w:rFonts w:hint="eastAsia" w:ascii="宋体" w:hAnsi="宋体"/>
                <w:highlight w:val="none"/>
                <w:u w:val="single"/>
                <w:lang w:val="en-US" w:eastAsia="zh-CN"/>
              </w:rPr>
              <w:t>6</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（2）技术部分</w:t>
            </w:r>
            <w:r>
              <w:rPr>
                <w:rFonts w:ascii="宋体" w:hAnsi="宋体" w:eastAsia="宋体"/>
                <w:highlight w:val="none"/>
              </w:rPr>
              <w:t>：</w:t>
            </w:r>
            <w:r>
              <w:rPr>
                <w:rFonts w:hint="eastAsia" w:ascii="宋体" w:hAnsi="宋体"/>
                <w:highlight w:val="none"/>
                <w:u w:val="single"/>
                <w:lang w:val="en-US" w:eastAsia="zh-CN"/>
              </w:rPr>
              <w:t>64</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（3）报价</w:t>
            </w:r>
            <w:r>
              <w:rPr>
                <w:rFonts w:ascii="宋体" w:hAnsi="宋体" w:eastAsia="宋体"/>
                <w:highlight w:val="none"/>
              </w:rPr>
              <w:t>：</w:t>
            </w:r>
            <w:r>
              <w:rPr>
                <w:rFonts w:hint="eastAsia" w:ascii="宋体" w:hAnsi="宋体" w:eastAsia="宋体"/>
                <w:highlight w:val="none"/>
                <w:u w:val="single"/>
                <w:lang w:val="en-US" w:eastAsia="zh-CN"/>
              </w:rPr>
              <w:t>30</w:t>
            </w:r>
            <w:r>
              <w:rPr>
                <w:rFonts w:ascii="宋体" w:hAnsi="宋体" w:eastAsia="宋体"/>
                <w:highlight w:val="none"/>
              </w:rPr>
              <w:t>分</w:t>
            </w:r>
          </w:p>
          <w:p>
            <w:pPr>
              <w:adjustRightInd w:val="0"/>
              <w:snapToGrid w:val="0"/>
              <w:rPr>
                <w:rFonts w:ascii="宋体" w:hAnsi="宋体" w:eastAsia="宋体"/>
                <w:highlight w:val="none"/>
              </w:rPr>
            </w:pPr>
            <w:r>
              <w:rPr>
                <w:rFonts w:hint="eastAsia" w:ascii="宋体" w:hAnsi="宋体" w:eastAsia="宋体"/>
                <w:highlight w:val="none"/>
              </w:rPr>
              <w:t>（4）</w:t>
            </w:r>
            <w:r>
              <w:rPr>
                <w:rFonts w:ascii="宋体" w:hAnsi="宋体" w:eastAsia="宋体"/>
                <w:highlight w:val="none"/>
              </w:rPr>
              <w:t>其他评分因素：</w:t>
            </w:r>
            <w:r>
              <w:rPr>
                <w:rFonts w:ascii="宋体" w:hAnsi="宋体" w:eastAsia="宋体"/>
                <w:highlight w:val="none"/>
                <w:u w:val="single"/>
              </w:rPr>
              <w:t xml:space="preserve">       </w:t>
            </w:r>
            <w:r>
              <w:rPr>
                <w:rFonts w:ascii="宋体" w:hAnsi="宋体" w:eastAsia="宋体"/>
                <w:highlight w:val="none"/>
              </w:rPr>
              <w:t>分（如有）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 2</w:t>
            </w:r>
            <w:r>
              <w:rPr>
                <w:rFonts w:hint="eastAsia" w:ascii="Times New Roman" w:hAnsi="Times New Roman"/>
                <w:highlight w:val="none"/>
              </w:rPr>
              <w:t>（2）</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评审</w:t>
            </w:r>
            <w:r>
              <w:rPr>
                <w:rFonts w:ascii="Times New Roman" w:hAnsi="Times New Roman"/>
                <w:highlight w:val="none"/>
              </w:rPr>
              <w:t>基准价计算方法</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方法一</w:t>
            </w:r>
          </w:p>
          <w:p>
            <w:pPr>
              <w:adjustRightInd w:val="0"/>
              <w:snapToGrid w:val="0"/>
              <w:jc w:val="left"/>
              <w:rPr>
                <w:rFonts w:ascii="宋体" w:hAnsi="宋体" w:eastAsia="宋体"/>
                <w:highlight w:val="none"/>
              </w:rPr>
            </w:pPr>
            <w:r>
              <w:rPr>
                <w:rFonts w:hint="eastAsia" w:ascii="宋体" w:hAnsi="宋体" w:eastAsia="宋体"/>
                <w:highlight w:val="none"/>
              </w:rPr>
              <w:t>□方法二：评审基准价系数=</w:t>
            </w:r>
            <w:r>
              <w:rPr>
                <w:rFonts w:ascii="宋体" w:hAnsi="宋体" w:eastAsia="宋体"/>
                <w:highlight w:val="none"/>
                <w:u w:val="single"/>
              </w:rPr>
              <w:t xml:space="preserve">     </w:t>
            </w:r>
          </w:p>
          <w:p>
            <w:pPr>
              <w:adjustRightInd w:val="0"/>
              <w:snapToGrid w:val="0"/>
              <w:jc w:val="left"/>
              <w:rPr>
                <w:rFonts w:ascii="宋体" w:hAnsi="宋体" w:eastAsia="宋体"/>
                <w:highlight w:val="none"/>
              </w:rPr>
            </w:pPr>
            <w:r>
              <w:rPr>
                <w:rFonts w:hint="eastAsia" w:ascii="宋体" w:hAnsi="宋体"/>
                <w:highlight w:val="none"/>
                <w:lang w:eastAsia="zh-CN"/>
              </w:rPr>
              <w:t>□</w:t>
            </w:r>
            <w:r>
              <w:rPr>
                <w:rFonts w:hint="eastAsia" w:ascii="宋体" w:hAnsi="宋体" w:eastAsia="宋体"/>
                <w:highlight w:val="none"/>
              </w:rPr>
              <w:t>方法三</w:t>
            </w:r>
          </w:p>
          <w:p>
            <w:pPr>
              <w:adjustRightInd w:val="0"/>
              <w:snapToGrid w:val="0"/>
              <w:jc w:val="both"/>
              <w:rPr>
                <w:rFonts w:ascii="宋体" w:hAnsi="宋体" w:eastAsia="宋体"/>
                <w:highlight w:val="none"/>
              </w:rPr>
            </w:pPr>
            <w:r>
              <w:rPr>
                <w:rFonts w:hint="eastAsia" w:ascii="宋体" w:hAnsi="宋体" w:eastAsia="宋体"/>
                <w:highlight w:val="none"/>
                <w:lang w:eastAsia="zh-CN"/>
              </w:rPr>
              <w:t>☑</w:t>
            </w:r>
            <w:r>
              <w:rPr>
                <w:rFonts w:hint="eastAsia" w:ascii="宋体" w:hAnsi="宋体" w:eastAsia="宋体"/>
                <w:highlight w:val="none"/>
              </w:rPr>
              <w:t>方法四，具体方法为：</w:t>
            </w:r>
            <w:r>
              <w:rPr>
                <w:rFonts w:hint="eastAsia" w:ascii="Times New Roman" w:hAnsi="Times New Roman" w:eastAsia="宋体" w:cs="Times New Roman"/>
                <w:highlight w:val="none"/>
              </w:rPr>
              <w:t>采用低价优先法计算，即满足</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nil"/>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评分因素</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81" w:hRule="atLeast"/>
        </w:trPr>
        <w:tc>
          <w:tcPr>
            <w:tcW w:w="709" w:type="dxa"/>
            <w:vMerge w:val="restart"/>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w:t>
            </w:r>
            <w:r>
              <w:rPr>
                <w:rFonts w:hint="eastAsia" w:ascii="Times New Roman" w:hAnsi="Times New Roman"/>
                <w:highlight w:val="none"/>
              </w:rPr>
              <w:t>1</w:t>
            </w:r>
            <w:r>
              <w:rPr>
                <w:rFonts w:ascii="Times New Roman" w:hAnsi="Times New Roman"/>
                <w:highlight w:val="none"/>
              </w:rPr>
              <w:t>）</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商务评分标准</w:t>
            </w:r>
            <w:r>
              <w:rPr>
                <w:rFonts w:hint="eastAsia" w:ascii="Times New Roman" w:hAnsi="Times New Roman"/>
                <w:highlight w:val="none"/>
                <w:lang w:eastAsia="zh-CN"/>
              </w:rPr>
              <w:t>（</w:t>
            </w:r>
            <w:r>
              <w:rPr>
                <w:rFonts w:hint="eastAsia" w:ascii="Times New Roman" w:hAnsi="Times New Roman"/>
                <w:highlight w:val="none"/>
                <w:lang w:val="en-US" w:eastAsia="zh-CN"/>
              </w:rPr>
              <w:t>6分）</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olor w:val="0000FF"/>
                <w:highlight w:val="none"/>
                <w:lang w:val="en-US" w:eastAsia="zh-CN"/>
              </w:rPr>
            </w:pPr>
            <w:r>
              <w:rPr>
                <w:rFonts w:hint="eastAsia" w:ascii="Times New Roman" w:hAnsi="Times New Roman" w:eastAsia="宋体" w:cs="Times New Roman"/>
                <w:highlight w:val="none"/>
                <w:lang w:val="en-US" w:eastAsia="zh-CN"/>
              </w:rPr>
              <w:t>参比产品</w:t>
            </w:r>
            <w:r>
              <w:rPr>
                <w:rFonts w:hint="eastAsia" w:ascii="Times New Roman" w:hAnsi="Times New Roman" w:eastAsia="宋体" w:cs="Times New Roman"/>
                <w:highlight w:val="none"/>
              </w:rPr>
              <w:t>业绩情况（不限定为供应商业绩）</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6</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3</w:t>
            </w:r>
            <w:r>
              <w:rPr>
                <w:rFonts w:hint="eastAsia" w:ascii="Times New Roman" w:hAnsi="Times New Roman"/>
                <w:highlight w:val="none"/>
              </w:rPr>
              <w:t>年1月1日以来（发票开具时间为准）的参比产品同品牌、同型号（任意一款产品）产品</w:t>
            </w:r>
            <w:r>
              <w:rPr>
                <w:rFonts w:hint="eastAsia" w:ascii="Times New Roman" w:hAnsi="Times New Roman"/>
                <w:highlight w:val="none"/>
                <w:lang w:val="en-US" w:eastAsia="zh-CN"/>
              </w:rPr>
              <w:t>在</w:t>
            </w:r>
            <w:r>
              <w:rPr>
                <w:rFonts w:hint="eastAsia" w:ascii="Times New Roman" w:hAnsi="Times New Roman"/>
                <w:highlight w:val="none"/>
              </w:rPr>
              <w:t>二级及以上公立医院销售业绩，每具有一份得</w:t>
            </w:r>
            <w:r>
              <w:rPr>
                <w:rFonts w:hint="eastAsia" w:ascii="Times New Roman" w:hAnsi="Times New Roman"/>
                <w:highlight w:val="none"/>
                <w:lang w:val="en-US" w:eastAsia="zh-CN"/>
              </w:rPr>
              <w:t>3</w:t>
            </w:r>
            <w:r>
              <w:rPr>
                <w:rFonts w:hint="eastAsia" w:ascii="Times New Roman" w:hAnsi="Times New Roman"/>
                <w:highlight w:val="none"/>
              </w:rPr>
              <w:t>分。满分</w:t>
            </w:r>
            <w:r>
              <w:rPr>
                <w:rFonts w:hint="eastAsia" w:ascii="Times New Roman" w:hAnsi="Times New Roman"/>
                <w:highlight w:val="none"/>
                <w:lang w:val="en-US" w:eastAsia="zh-CN"/>
              </w:rPr>
              <w:t>6</w:t>
            </w:r>
            <w:r>
              <w:rPr>
                <w:rFonts w:hint="eastAsia" w:ascii="Times New Roman" w:hAnsi="Times New Roman"/>
                <w:highlight w:val="none"/>
              </w:rPr>
              <w:t>分。</w:t>
            </w:r>
          </w:p>
          <w:p>
            <w:pPr>
              <w:adjustRightInd w:val="0"/>
              <w:snapToGrid w:val="0"/>
              <w:jc w:val="both"/>
              <w:rPr>
                <w:rFonts w:ascii="Times New Roman" w:hAnsi="Times New Roman"/>
                <w:highlight w:val="none"/>
              </w:rPr>
            </w:pPr>
            <w:r>
              <w:rPr>
                <w:rFonts w:hint="eastAsia" w:ascii="Times New Roman" w:hAnsi="Times New Roman"/>
                <w:highlight w:val="none"/>
              </w:rPr>
              <w:t>备注：供应商须在响应文件中提供发票和出货清单，否则将会被视为无效业绩合同。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restart"/>
            <w:tcBorders>
              <w:top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（2）</w:t>
            </w:r>
          </w:p>
        </w:tc>
        <w:tc>
          <w:tcPr>
            <w:tcW w:w="1085" w:type="dxa"/>
            <w:vMerge w:val="restart"/>
            <w:tcBorders>
              <w:top w:val="single" w:color="auto" w:sz="4" w:space="0"/>
              <w:right w:val="single" w:color="auto" w:sz="4" w:space="0"/>
            </w:tcBorders>
            <w:vAlign w:val="center"/>
          </w:tcPr>
          <w:p>
            <w:pPr>
              <w:adjustRightInd w:val="0"/>
              <w:snapToGrid w:val="0"/>
              <w:jc w:val="center"/>
              <w:rPr>
                <w:rFonts w:hint="default" w:ascii="Times New Roman" w:hAnsi="Times New Roman" w:eastAsia="宋体"/>
                <w:highlight w:val="none"/>
                <w:lang w:val="en-US" w:eastAsia="zh-CN"/>
              </w:rPr>
            </w:pPr>
            <w:r>
              <w:rPr>
                <w:rFonts w:hint="eastAsia" w:ascii="Times New Roman" w:hAnsi="Times New Roman"/>
                <w:highlight w:val="none"/>
              </w:rPr>
              <w:t>技术评分标准</w:t>
            </w:r>
            <w:r>
              <w:rPr>
                <w:rFonts w:hint="eastAsia" w:ascii="Times New Roman" w:hAnsi="Times New Roman"/>
                <w:highlight w:val="none"/>
                <w:lang w:eastAsia="zh-CN"/>
              </w:rPr>
              <w:t>（</w:t>
            </w:r>
            <w:r>
              <w:rPr>
                <w:rFonts w:hint="eastAsia" w:ascii="Times New Roman" w:hAnsi="Times New Roman"/>
                <w:highlight w:val="none"/>
                <w:lang w:val="en-US" w:eastAsia="zh-CN"/>
              </w:rPr>
              <w:t>64分）</w:t>
            </w: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技术参数响应性</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40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spacing w:line="400" w:lineRule="exact"/>
              <w:ind w:right="-4" w:rightChars="-2"/>
              <w:rPr>
                <w:rFonts w:hint="default" w:ascii="宋体"/>
                <w:color w:val="auto"/>
                <w:szCs w:val="21"/>
                <w:highlight w:val="none"/>
                <w:lang w:val="en-US" w:eastAsia="zh-CN"/>
              </w:rPr>
            </w:pPr>
            <w:r>
              <w:rPr>
                <w:rFonts w:hint="default" w:ascii="宋体"/>
                <w:color w:val="auto"/>
                <w:szCs w:val="21"/>
                <w:highlight w:val="none"/>
                <w:lang w:val="en-US" w:eastAsia="zh-CN"/>
              </w:rPr>
              <w:t>评审小组依据技术需求参数响应情况进行评审</w:t>
            </w:r>
            <w:r>
              <w:rPr>
                <w:rFonts w:hint="eastAsia" w:ascii="宋体"/>
                <w:color w:val="auto"/>
                <w:szCs w:val="21"/>
                <w:highlight w:val="none"/>
                <w:lang w:val="en-US" w:eastAsia="zh-CN"/>
              </w:rPr>
              <w:t>，本项满分40分</w:t>
            </w:r>
            <w:r>
              <w:rPr>
                <w:rFonts w:hint="default" w:ascii="宋体"/>
                <w:color w:val="auto"/>
                <w:szCs w:val="21"/>
                <w:highlight w:val="none"/>
                <w:lang w:val="en-US" w:eastAsia="zh-CN"/>
              </w:rPr>
              <w:t>。</w:t>
            </w:r>
          </w:p>
          <w:p>
            <w:pPr>
              <w:spacing w:line="400" w:lineRule="exact"/>
              <w:ind w:right="-4" w:rightChars="-2"/>
              <w:rPr>
                <w:rFonts w:hint="default" w:ascii="宋体"/>
                <w:color w:val="auto"/>
                <w:szCs w:val="21"/>
                <w:highlight w:val="yellow"/>
                <w:lang w:val="en-US" w:eastAsia="zh-CN"/>
              </w:rPr>
            </w:pPr>
            <w:r>
              <w:rPr>
                <w:rFonts w:hint="eastAsia" w:ascii="宋体"/>
                <w:color w:val="auto"/>
                <w:szCs w:val="21"/>
                <w:highlight w:val="none"/>
                <w:lang w:val="en-US" w:eastAsia="zh-CN"/>
              </w:rPr>
              <w:t>标有</w:t>
            </w:r>
            <w:r>
              <w:rPr>
                <w:rFonts w:hint="default" w:ascii="宋体"/>
                <w:color w:val="auto"/>
                <w:szCs w:val="21"/>
                <w:highlight w:val="none"/>
                <w:lang w:val="en-US" w:eastAsia="zh-CN"/>
              </w:rPr>
              <w:t>“</w:t>
            </w:r>
            <w:r>
              <w:rPr>
                <w:rFonts w:hint="eastAsia" w:ascii="Times New Roman" w:hAnsi="Times New Roman" w:eastAsia="宋体" w:cs="Times New Roman"/>
                <w:highlight w:val="none"/>
              </w:rPr>
              <w:t>★</w:t>
            </w:r>
            <w:r>
              <w:rPr>
                <w:rFonts w:hint="default" w:ascii="宋体"/>
                <w:color w:val="auto"/>
                <w:szCs w:val="21"/>
                <w:highlight w:val="none"/>
                <w:lang w:val="en-US" w:eastAsia="zh-CN"/>
              </w:rPr>
              <w:t>”参数为重要参数，每满足（或优于）一项</w:t>
            </w:r>
            <w:r>
              <w:rPr>
                <w:rFonts w:hint="eastAsia" w:ascii="宋体"/>
                <w:color w:val="auto"/>
                <w:szCs w:val="21"/>
                <w:highlight w:val="none"/>
                <w:lang w:val="en-US" w:eastAsia="zh-CN"/>
              </w:rPr>
              <w:t>得5</w:t>
            </w:r>
            <w:r>
              <w:rPr>
                <w:rFonts w:hint="default" w:ascii="宋体"/>
                <w:color w:val="auto"/>
                <w:szCs w:val="21"/>
                <w:highlight w:val="none"/>
                <w:lang w:val="en-US" w:eastAsia="zh-CN"/>
              </w:rPr>
              <w:t>分，共计</w:t>
            </w:r>
            <w:r>
              <w:rPr>
                <w:rFonts w:hint="eastAsia" w:ascii="宋体"/>
                <w:color w:val="auto"/>
                <w:szCs w:val="21"/>
                <w:highlight w:val="none"/>
                <w:lang w:val="en-US" w:eastAsia="zh-CN"/>
              </w:rPr>
              <w:t>25</w:t>
            </w:r>
            <w:r>
              <w:rPr>
                <w:rFonts w:hint="default" w:ascii="宋体"/>
                <w:color w:val="auto"/>
                <w:szCs w:val="21"/>
                <w:highlight w:val="none"/>
                <w:lang w:val="en-US" w:eastAsia="zh-CN"/>
              </w:rPr>
              <w:t>分</w:t>
            </w:r>
            <w:r>
              <w:rPr>
                <w:rFonts w:hint="eastAsia" w:ascii="宋体"/>
                <w:color w:val="auto"/>
                <w:szCs w:val="21"/>
                <w:highlight w:val="none"/>
                <w:lang w:val="en-US" w:eastAsia="zh-CN"/>
              </w:rPr>
              <w:t>；</w:t>
            </w:r>
            <w:r>
              <w:rPr>
                <w:rFonts w:hint="default" w:ascii="宋体"/>
                <w:color w:val="auto"/>
                <w:szCs w:val="21"/>
                <w:highlight w:val="none"/>
                <w:lang w:val="en-US" w:eastAsia="zh-CN"/>
              </w:rPr>
              <w:t>未标有“★”的参数每满足一项</w:t>
            </w:r>
            <w:r>
              <w:rPr>
                <w:rFonts w:hint="eastAsia" w:ascii="宋体"/>
                <w:color w:val="auto"/>
                <w:szCs w:val="21"/>
                <w:highlight w:val="none"/>
                <w:lang w:val="en-US" w:eastAsia="zh-CN"/>
              </w:rPr>
              <w:t>得1</w:t>
            </w:r>
            <w:r>
              <w:rPr>
                <w:rFonts w:hint="default" w:ascii="宋体"/>
                <w:color w:val="auto"/>
                <w:szCs w:val="21"/>
                <w:highlight w:val="none"/>
                <w:lang w:val="en-US" w:eastAsia="zh-CN"/>
              </w:rPr>
              <w:t>分，</w:t>
            </w:r>
            <w:r>
              <w:rPr>
                <w:rFonts w:hint="eastAsia" w:ascii="宋体"/>
                <w:color w:val="auto"/>
                <w:szCs w:val="21"/>
                <w:highlight w:val="none"/>
                <w:lang w:val="en-US" w:eastAsia="zh-CN"/>
              </w:rPr>
              <w:t>共</w:t>
            </w:r>
            <w:r>
              <w:rPr>
                <w:rFonts w:hint="default" w:ascii="宋体"/>
                <w:color w:val="auto"/>
                <w:szCs w:val="21"/>
                <w:highlight w:val="none"/>
                <w:lang w:val="en-US" w:eastAsia="zh-CN"/>
              </w:rPr>
              <w:t>计</w:t>
            </w:r>
            <w:r>
              <w:rPr>
                <w:rFonts w:hint="eastAsia" w:ascii="宋体"/>
                <w:color w:val="auto"/>
                <w:szCs w:val="21"/>
                <w:highlight w:val="none"/>
                <w:lang w:val="en-US" w:eastAsia="zh-CN"/>
              </w:rPr>
              <w:t>15</w:t>
            </w:r>
            <w:r>
              <w:rPr>
                <w:rFonts w:hint="default" w:ascii="宋体"/>
                <w:color w:val="auto"/>
                <w:szCs w:val="21"/>
                <w:highlight w:val="none"/>
                <w:lang w:val="en-US" w:eastAsia="zh-CN"/>
              </w:rPr>
              <w:t>分。</w:t>
            </w:r>
          </w:p>
          <w:p>
            <w:pPr>
              <w:spacing w:line="400" w:lineRule="exact"/>
              <w:ind w:right="-4" w:rightChars="-2"/>
              <w:rPr>
                <w:rFonts w:hint="default" w:ascii="宋体"/>
                <w:color w:val="auto"/>
                <w:szCs w:val="21"/>
                <w:highlight w:val="none"/>
                <w:lang w:val="en-US" w:eastAsia="zh-CN"/>
              </w:rPr>
            </w:pPr>
          </w:p>
          <w:p>
            <w:pPr>
              <w:adjustRightInd w:val="0"/>
              <w:snapToGrid w:val="0"/>
              <w:jc w:val="both"/>
              <w:rPr>
                <w:rFonts w:hint="eastAsia" w:ascii="Times New Roman" w:hAnsi="Times New Roman" w:eastAsia="宋体" w:cs="Times New Roman"/>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9"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hint="eastAsia" w:ascii="Times New Roman" w:hAnsi="Times New Roman"/>
                <w:highlight w:val="none"/>
              </w:rPr>
            </w:pPr>
          </w:p>
        </w:tc>
        <w:tc>
          <w:tcPr>
            <w:tcW w:w="231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highlight w:val="none"/>
              </w:rPr>
            </w:pPr>
          </w:p>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质量保证期</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在</w:t>
            </w:r>
            <w:r>
              <w:rPr>
                <w:rFonts w:hint="eastAsia" w:ascii="Times New Roman" w:hAnsi="Times New Roman" w:eastAsia="宋体" w:cs="Times New Roman"/>
                <w:highlight w:val="none"/>
                <w:lang w:val="en-US" w:eastAsia="zh-CN"/>
              </w:rPr>
              <w:t>询比</w:t>
            </w:r>
            <w:r>
              <w:rPr>
                <w:rFonts w:hint="eastAsia" w:ascii="Times New Roman" w:hAnsi="Times New Roman" w:eastAsia="宋体" w:cs="Times New Roman"/>
                <w:highlight w:val="none"/>
              </w:rPr>
              <w:t>文件要求的基础上</w:t>
            </w:r>
            <w:r>
              <w:rPr>
                <w:rFonts w:hint="eastAsia" w:ascii="Times New Roman" w:hAnsi="Times New Roman" w:eastAsia="宋体" w:cs="Times New Roman"/>
                <w:highlight w:val="none"/>
                <w:lang w:val="en-US" w:eastAsia="zh-CN"/>
              </w:rPr>
              <w:t>设备</w:t>
            </w:r>
            <w:r>
              <w:rPr>
                <w:rFonts w:hint="eastAsia" w:ascii="Times New Roman" w:hAnsi="Times New Roman" w:eastAsia="宋体" w:cs="Times New Roman"/>
                <w:highlight w:val="none"/>
              </w:rPr>
              <w:t>每增加一年</w:t>
            </w:r>
            <w:r>
              <w:rPr>
                <w:rFonts w:hint="eastAsia" w:ascii="Times New Roman" w:hAnsi="Times New Roman" w:cs="Times New Roman"/>
                <w:highlight w:val="none"/>
                <w:lang w:eastAsia="zh-CN"/>
              </w:rPr>
              <w:t>得</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分。满分</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highlight w:val="none"/>
              </w:rPr>
              <w:t>备注：</w:t>
            </w:r>
            <w:r>
              <w:rPr>
                <w:rFonts w:hint="eastAsia" w:ascii="Times New Roman" w:hAnsi="Times New Roman"/>
                <w:highlight w:val="none"/>
                <w:lang w:val="en-US" w:eastAsia="zh-CN"/>
              </w:rPr>
              <w:t>供应商</w:t>
            </w:r>
            <w:r>
              <w:rPr>
                <w:rFonts w:hint="eastAsia" w:ascii="Times New Roman" w:hAnsi="Times New Roman"/>
                <w:highlight w:val="none"/>
              </w:rPr>
              <w:t>于第</w:t>
            </w:r>
            <w:r>
              <w:rPr>
                <w:rFonts w:hint="eastAsia" w:ascii="Times New Roman" w:hAnsi="Times New Roman"/>
                <w:highlight w:val="none"/>
                <w:lang w:val="en-US" w:eastAsia="zh-CN"/>
              </w:rPr>
              <w:t>六</w:t>
            </w:r>
            <w:r>
              <w:rPr>
                <w:rFonts w:hint="eastAsia" w:ascii="Times New Roman" w:hAnsi="Times New Roman"/>
                <w:highlight w:val="none"/>
              </w:rPr>
              <w:t>章《</w:t>
            </w:r>
            <w:r>
              <w:rPr>
                <w:rFonts w:hint="eastAsia" w:ascii="Times New Roman" w:hAnsi="Times New Roman"/>
                <w:highlight w:val="none"/>
                <w:lang w:val="en-US" w:eastAsia="zh-CN"/>
              </w:rPr>
              <w:t>响应</w:t>
            </w:r>
            <w:r>
              <w:rPr>
                <w:rFonts w:hint="eastAsia" w:ascii="Times New Roman" w:hAnsi="Times New Roman"/>
                <w:highlight w:val="none"/>
              </w:rPr>
              <w:t>文件格式》</w:t>
            </w:r>
            <w:r>
              <w:rPr>
                <w:rFonts w:hint="eastAsia" w:ascii="Times New Roman" w:hAnsi="Times New Roman"/>
                <w:highlight w:val="none"/>
                <w:lang w:val="en-US" w:eastAsia="zh-CN"/>
              </w:rPr>
              <w:t>中</w:t>
            </w:r>
            <w:r>
              <w:rPr>
                <w:rFonts w:hint="eastAsia" w:ascii="Times New Roman" w:hAnsi="Times New Roman"/>
                <w:highlight w:val="none"/>
              </w:rPr>
              <w:t xml:space="preserve">《4.1、设备分项报价表》列明质保期即可，未提供或提供不全的不得分。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31" w:hRule="atLeast"/>
        </w:trPr>
        <w:tc>
          <w:tcPr>
            <w:tcW w:w="709"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1085" w:type="dxa"/>
            <w:vMerge w:val="continue"/>
            <w:tcBorders>
              <w:right w:val="single" w:color="auto" w:sz="4" w:space="0"/>
            </w:tcBorders>
            <w:vAlign w:val="center"/>
          </w:tcPr>
          <w:p>
            <w:pPr>
              <w:adjustRightInd w:val="0"/>
              <w:snapToGrid w:val="0"/>
              <w:jc w:val="center"/>
              <w:rPr>
                <w:rFonts w:ascii="Times New Roman" w:hAnsi="Times New Roman"/>
                <w:highlight w:val="none"/>
              </w:rPr>
            </w:pPr>
          </w:p>
        </w:tc>
        <w:tc>
          <w:tcPr>
            <w:tcW w:w="2317" w:type="dxa"/>
            <w:tcBorders>
              <w:top w:val="single" w:color="auto" w:sz="4" w:space="0"/>
              <w:left w:val="single" w:color="auto" w:sz="4" w:space="0"/>
              <w:right w:val="single" w:color="auto" w:sz="4" w:space="0"/>
            </w:tcBorders>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配送方案</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根据</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提供的配送服务方案进行横向比较并综合打分，配送服务方案应根据采购人的地理位置以及实际需求进行编制，配送服务方案应包括</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时效性</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设备配置、紧急(急救)配送、退换货、保障方案等方面内容(满分</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10</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4</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vMerge w:val="continue"/>
            <w:tcBorders>
              <w:right w:val="single" w:color="auto" w:sz="4" w:space="0"/>
            </w:tcBorders>
            <w:vAlign w:val="top"/>
          </w:tcPr>
          <w:p>
            <w:pPr>
              <w:adjustRightInd w:val="0"/>
              <w:snapToGrid w:val="0"/>
              <w:rPr>
                <w:rFonts w:ascii="Times New Roman" w:hAnsi="Times New Roman"/>
                <w:highlight w:val="none"/>
              </w:rPr>
            </w:pPr>
          </w:p>
        </w:tc>
        <w:tc>
          <w:tcPr>
            <w:tcW w:w="1085" w:type="dxa"/>
            <w:vMerge w:val="continue"/>
            <w:tcBorders>
              <w:right w:val="single" w:color="auto" w:sz="4" w:space="0"/>
            </w:tcBorders>
            <w:vAlign w:val="top"/>
          </w:tcPr>
          <w:p>
            <w:pPr>
              <w:adjustRightInd w:val="0"/>
              <w:snapToGrid w:val="0"/>
              <w:rPr>
                <w:rFonts w:ascii="Times New Roman" w:hAnsi="Times New Roman"/>
                <w:highlight w:val="none"/>
              </w:rPr>
            </w:pPr>
          </w:p>
        </w:tc>
        <w:tc>
          <w:tcPr>
            <w:tcW w:w="2317"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售后服务</w:t>
            </w:r>
            <w:r>
              <w:rPr>
                <w:rFonts w:hint="eastAsia" w:ascii="Times New Roman" w:hAnsi="Times New Roman" w:eastAsia="宋体" w:cs="Times New Roman"/>
                <w:highlight w:val="none"/>
                <w:lang w:eastAsia="zh-CN"/>
              </w:rPr>
              <w:t>（</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分）</w:t>
            </w:r>
          </w:p>
        </w:tc>
        <w:tc>
          <w:tcPr>
            <w:tcW w:w="4536" w:type="dxa"/>
            <w:tcBorders>
              <w:top w:val="single" w:color="auto" w:sz="4" w:space="0"/>
              <w:left w:val="single" w:color="auto" w:sz="4" w:space="0"/>
              <w:right w:val="single" w:color="auto" w:sz="4" w:space="0"/>
            </w:tcBorders>
            <w:tcMar>
              <w:left w:w="57" w:type="dxa"/>
              <w:right w:w="57" w:type="dxa"/>
            </w:tcMar>
            <w:vAlign w:val="top"/>
          </w:tcPr>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根据供应商提供的售后服务管理制度、保障措施、售后人员配备等情况综合评审。</w:t>
            </w:r>
            <w:r>
              <w:rPr>
                <w:rFonts w:hint="eastAsia" w:ascii="Times New Roman" w:hAnsi="Times New Roman" w:eastAsia="宋体" w:cs="Times New Roman"/>
                <w:highlight w:val="none"/>
              </w:rPr>
              <w:t>(满分</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rPr>
              <w:t>分)</w:t>
            </w:r>
          </w:p>
          <w:p>
            <w:pPr>
              <w:adjustRightInd w:val="0"/>
              <w:snapToGrid w:val="0"/>
              <w:jc w:val="both"/>
              <w:rPr>
                <w:rFonts w:hint="eastAsia" w:ascii="Times New Roman" w:hAnsi="Times New Roman" w:eastAsia="宋体" w:cs="Times New Roman"/>
                <w:highlight w:val="none"/>
              </w:rPr>
            </w:pPr>
            <w:r>
              <w:rPr>
                <w:rFonts w:hint="default" w:ascii="Times New Roman" w:hAnsi="Times New Roman" w:eastAsia="宋体" w:cs="Times New Roman"/>
                <w:highlight w:val="none"/>
                <w:lang w:val="en-US" w:eastAsia="zh-CN"/>
              </w:rPr>
              <w:t>优:</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10</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良:</w:t>
            </w:r>
            <w:r>
              <w:rPr>
                <w:rFonts w:hint="eastAsia" w:ascii="Times New Roman" w:hAnsi="Times New Roman" w:cs="Times New Roman"/>
                <w:highlight w:val="none"/>
                <w:lang w:val="en-US" w:eastAsia="zh-CN"/>
              </w:rPr>
              <w:t>4</w:t>
            </w:r>
            <w:r>
              <w:rPr>
                <w:rFonts w:hint="default" w:ascii="Times New Roman" w:hAnsi="Times New Roman" w:eastAsia="宋体" w:cs="Times New Roman"/>
                <w:highlight w:val="none"/>
                <w:lang w:val="en-US" w:eastAsia="zh-CN"/>
              </w:rPr>
              <w:t>(不含)-</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一般:0-</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 xml:space="preserve"> 3</w:t>
            </w:r>
            <w:r>
              <w:rPr>
                <w:rFonts w:ascii="Times New Roman" w:hAnsi="Times New Roman"/>
                <w:highlight w:val="none"/>
              </w:rPr>
              <w:t>（3）</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highlight w:val="none"/>
                <w:lang w:eastAsia="zh-CN"/>
              </w:rPr>
            </w:pPr>
            <w:r>
              <w:rPr>
                <w:rFonts w:hint="eastAsia" w:ascii="宋体" w:hAnsi="宋体" w:eastAsia="宋体"/>
                <w:highlight w:val="none"/>
              </w:rPr>
              <w:t>报价</w:t>
            </w:r>
            <w:r>
              <w:rPr>
                <w:rFonts w:ascii="宋体" w:hAnsi="宋体" w:eastAsia="宋体"/>
                <w:highlight w:val="none"/>
              </w:rPr>
              <w:t>评分标准</w:t>
            </w:r>
            <w:r>
              <w:rPr>
                <w:rFonts w:hint="eastAsia" w:ascii="宋体" w:hAnsi="宋体"/>
                <w:highlight w:val="none"/>
                <w:lang w:eastAsia="zh-CN"/>
              </w:rPr>
              <w:t>（</w:t>
            </w:r>
            <w:r>
              <w:rPr>
                <w:rFonts w:hint="eastAsia" w:ascii="宋体" w:hAnsi="宋体"/>
                <w:highlight w:val="none"/>
                <w:lang w:val="en-US" w:eastAsia="zh-CN"/>
              </w:rPr>
              <w:t>30分</w:t>
            </w:r>
            <w:r>
              <w:rPr>
                <w:rFonts w:hint="eastAsia" w:ascii="宋体" w:hAnsi="宋体"/>
                <w:highlight w:val="none"/>
                <w:lang w:eastAsia="zh-CN"/>
              </w:rPr>
              <w:t>）</w:t>
            </w:r>
          </w:p>
        </w:tc>
        <w:tc>
          <w:tcPr>
            <w:tcW w:w="6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lang w:eastAsia="zh-CN"/>
              </w:rPr>
              <w:t>□</w:t>
            </w:r>
            <w:r>
              <w:rPr>
                <w:rFonts w:hint="eastAsia" w:ascii="宋体" w:hAnsi="宋体" w:eastAsia="宋体"/>
                <w:highlight w:val="none"/>
              </w:rPr>
              <w:t>方法一：</w:t>
            </w:r>
            <w:r>
              <w:rPr>
                <w:rFonts w:hint="eastAsia" w:ascii="Times New Roman" w:hAnsi="Times New Roman" w:eastAsia="宋体" w:cs="Times New Roman"/>
                <w:highlight w:val="none"/>
              </w:rPr>
              <w:t>E1=，E2=</w:t>
            </w:r>
          </w:p>
          <w:p>
            <w:pPr>
              <w:adjustRightInd w:val="0"/>
              <w:snapToGrid w:val="0"/>
              <w:jc w:val="left"/>
              <w:rPr>
                <w:rFonts w:ascii="宋体" w:hAnsi="宋体" w:eastAsia="宋体"/>
                <w:highlight w:val="none"/>
              </w:rPr>
            </w:pPr>
            <w:r>
              <w:rPr>
                <w:rFonts w:hint="eastAsia" w:ascii="宋体" w:hAnsi="宋体" w:eastAsia="宋体"/>
                <w:highlight w:val="none"/>
              </w:rPr>
              <w:t>□方法二</w:t>
            </w:r>
          </w:p>
          <w:p>
            <w:pPr>
              <w:adjustRightInd w:val="0"/>
              <w:snapToGrid w:val="0"/>
              <w:jc w:val="left"/>
              <w:rPr>
                <w:rFonts w:hint="eastAsia" w:ascii="宋体" w:hAnsi="宋体" w:eastAsia="宋体"/>
                <w:highlight w:val="none"/>
                <w:u w:val="single"/>
              </w:rPr>
            </w:pPr>
            <w:r>
              <w:rPr>
                <w:rFonts w:hint="eastAsia" w:ascii="宋体" w:hAnsi="宋体" w:eastAsia="宋体"/>
                <w:highlight w:val="none"/>
                <w:lang w:eastAsia="zh-CN"/>
              </w:rPr>
              <w:t>☑</w:t>
            </w:r>
            <w:r>
              <w:rPr>
                <w:rFonts w:hint="eastAsia" w:ascii="宋体" w:hAnsi="宋体" w:eastAsia="宋体"/>
                <w:highlight w:val="none"/>
              </w:rPr>
              <w:t>方法三：具体方法为：</w:t>
            </w:r>
            <w:r>
              <w:rPr>
                <w:rFonts w:hint="eastAsia" w:ascii="宋体" w:hAnsi="宋体" w:eastAsia="宋体"/>
                <w:highlight w:val="none"/>
                <w:u w:val="single"/>
              </w:rPr>
              <w:t xml:space="preserve">采用低价优先法计算，即满足招标文件要求且投标价格最低的投标报价为评标基准价，其价格分为满分。其他投标人的价格分统一按照下列公式计算（保留两位小数，两位小数后四舍五入）： </w:t>
            </w:r>
          </w:p>
          <w:p>
            <w:pPr>
              <w:adjustRightInd w:val="0"/>
              <w:snapToGrid w:val="0"/>
              <w:jc w:val="left"/>
              <w:rPr>
                <w:rFonts w:hint="default" w:ascii="宋体" w:hAnsi="宋体" w:eastAsia="宋体"/>
                <w:highlight w:val="none"/>
                <w:lang w:val="en-US" w:eastAsia="zh-CN"/>
              </w:rPr>
            </w:pPr>
            <w:r>
              <w:rPr>
                <w:rFonts w:hint="eastAsia" w:ascii="宋体" w:hAnsi="宋体" w:eastAsia="宋体"/>
                <w:highlight w:val="none"/>
                <w:u w:val="single"/>
              </w:rPr>
              <w:t>投标报价得分=（评标基准价／投标报价）×100×30分</w:t>
            </w:r>
            <w:r>
              <w:rPr>
                <w:rFonts w:hint="eastAsia" w:ascii="宋体" w:hAnsi="宋体" w:eastAsia="宋体"/>
                <w:highlight w:val="none"/>
                <w:u w:val="single"/>
                <w:lang w:val="en-US" w:eastAsia="zh-CN"/>
              </w:rPr>
              <w:t>/满分100分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highlight w:val="none"/>
                <w:lang w:eastAsia="zh-CN"/>
              </w:rPr>
            </w:pPr>
            <w:r>
              <w:rPr>
                <w:rFonts w:hint="eastAsia" w:ascii="Times New Roman" w:hAnsi="Times New Roman" w:eastAsia="宋体" w:cs="Times New Roman"/>
                <w:b/>
                <w:highlight w:val="none"/>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64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Times New Roman" w:hAnsi="Times New Roman" w:eastAsia="宋体"/>
                <w:highlight w:val="none"/>
                <w:lang w:eastAsia="zh-CN"/>
              </w:rPr>
            </w:pPr>
            <w:r>
              <w:rPr>
                <w:rFonts w:hint="eastAsia" w:ascii="宋体" w:hAnsi="宋体" w:eastAsia="宋体" w:cs="Times New Roman"/>
                <w:highlight w:val="none"/>
              </w:rPr>
              <w:t>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委员会认为</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的报价明显低于其他通过符合性审查</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的报价，有可能影响产品质量或者不能诚信履约的，应当要求其在评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现场评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委员会规定的时间内(30分钟内，以询标函发出时间为准)提供书面说明，必要时提交相关证明材料；</w:t>
            </w:r>
            <w:r>
              <w:rPr>
                <w:rFonts w:hint="eastAsia" w:ascii="宋体" w:hAnsi="宋体" w:eastAsia="宋体" w:cs="Times New Roman"/>
                <w:highlight w:val="none"/>
                <w:lang w:val="en-US" w:eastAsia="zh-CN"/>
              </w:rPr>
              <w:t>供应商</w:t>
            </w:r>
            <w:r>
              <w:rPr>
                <w:rFonts w:hint="eastAsia" w:ascii="宋体" w:hAnsi="宋体" w:eastAsia="宋体" w:cs="Times New Roman"/>
                <w:highlight w:val="none"/>
              </w:rPr>
              <w:t>不能证明其报价合理性的，评</w:t>
            </w:r>
            <w:r>
              <w:rPr>
                <w:rFonts w:hint="eastAsia" w:ascii="宋体" w:hAnsi="宋体" w:eastAsia="宋体" w:cs="Times New Roman"/>
                <w:highlight w:val="none"/>
                <w:lang w:val="en-US" w:eastAsia="zh-CN"/>
              </w:rPr>
              <w:t>审</w:t>
            </w:r>
            <w:r>
              <w:rPr>
                <w:rFonts w:hint="eastAsia" w:ascii="宋体" w:hAnsi="宋体" w:eastAsia="宋体" w:cs="Times New Roman"/>
                <w:highlight w:val="none"/>
              </w:rPr>
              <w:t>委员会应当将其作为无效投标处理。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ascii="Times New Roman" w:hAnsi="Times New Roman"/>
                <w:b/>
                <w:highlight w:val="none"/>
              </w:rPr>
              <w:t>条款号</w:t>
            </w:r>
            <w:r>
              <w:rPr>
                <w:rFonts w:hint="eastAsia" w:ascii="Times New Roman" w:hAnsi="Times New Roman"/>
                <w:b/>
                <w:highlight w:val="none"/>
              </w:rPr>
              <w:t>及名称</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条款</w:t>
            </w:r>
            <w:r>
              <w:rPr>
                <w:rFonts w:ascii="Times New Roman" w:hAnsi="Times New Roman"/>
                <w:b/>
                <w:highlight w:val="none"/>
              </w:rPr>
              <w:t>内容</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highlight w:val="none"/>
              </w:rPr>
            </w:pPr>
            <w:r>
              <w:rPr>
                <w:rFonts w:hint="eastAsia" w:ascii="Times New Roman" w:hAnsi="Times New Roman"/>
                <w:b/>
                <w:highlight w:val="none"/>
              </w:rPr>
              <w:t>编列</w:t>
            </w:r>
            <w:r>
              <w:rPr>
                <w:rFonts w:ascii="Times New Roman" w:hAnsi="Times New Roman"/>
                <w:b/>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highlight w:val="none"/>
              </w:rPr>
            </w:pPr>
            <w:r>
              <w:rPr>
                <w:rFonts w:hint="eastAsia" w:ascii="Times New Roman" w:hAnsi="Times New Roman"/>
                <w:highlight w:val="none"/>
              </w:rPr>
              <w:t>3. 6</w:t>
            </w:r>
          </w:p>
        </w:tc>
        <w:tc>
          <w:tcPr>
            <w:tcW w:w="2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highlight w:val="none"/>
              </w:rPr>
            </w:pPr>
            <w:r>
              <w:rPr>
                <w:rFonts w:hint="eastAsia" w:ascii="宋体" w:hAnsi="宋体" w:eastAsia="宋体"/>
                <w:highlight w:val="none"/>
              </w:rPr>
              <w:t>供应商并列时确定供应商优先顺序的规则</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highlight w:val="none"/>
              </w:rPr>
            </w:pPr>
            <w:r>
              <w:rPr>
                <w:rFonts w:hint="eastAsia" w:ascii="宋体" w:hAnsi="宋体" w:eastAsia="宋体"/>
                <w:highlight w:val="none"/>
              </w:rPr>
              <w:t>□由评审小组投票决定</w:t>
            </w:r>
          </w:p>
          <w:p>
            <w:pPr>
              <w:adjustRightInd w:val="0"/>
              <w:snapToGrid w:val="0"/>
              <w:jc w:val="left"/>
              <w:rPr>
                <w:rFonts w:ascii="宋体" w:hAnsi="宋体" w:eastAsia="宋体"/>
                <w:highlight w:val="none"/>
              </w:rPr>
            </w:pPr>
            <w:r>
              <w:rPr>
                <w:rFonts w:hint="eastAsia" w:ascii="宋体" w:hAnsi="宋体" w:eastAsia="宋体"/>
                <w:highlight w:val="none"/>
              </w:rPr>
              <w:sym w:font="Wingdings 2" w:char="0052"/>
            </w:r>
            <w:r>
              <w:rPr>
                <w:rFonts w:hint="eastAsia" w:ascii="宋体" w:hAnsi="宋体" w:eastAsia="宋体"/>
                <w:highlight w:val="none"/>
              </w:rPr>
              <w:t>由评审小组抽签决定</w:t>
            </w:r>
          </w:p>
          <w:p>
            <w:pPr>
              <w:adjustRightInd w:val="0"/>
              <w:snapToGrid w:val="0"/>
              <w:rPr>
                <w:rFonts w:ascii="宋体" w:hAnsi="宋体" w:eastAsia="宋体"/>
                <w:highlight w:val="none"/>
              </w:rPr>
            </w:pPr>
            <w:r>
              <w:rPr>
                <w:rFonts w:hint="eastAsia" w:ascii="宋体" w:hAnsi="宋体" w:eastAsia="宋体"/>
                <w:highlight w:val="none"/>
              </w:rPr>
              <w:sym w:font="Wingdings 2" w:char="00A3"/>
            </w:r>
            <w:r>
              <w:rPr>
                <w:rFonts w:hint="eastAsia" w:ascii="宋体" w:hAnsi="宋体" w:eastAsia="宋体"/>
                <w:highlight w:val="none"/>
              </w:rPr>
              <w:t>其他方法：</w:t>
            </w:r>
            <w:r>
              <w:rPr>
                <w:rFonts w:hint="eastAsia" w:ascii="宋体" w:hAnsi="宋体" w:eastAsia="宋体"/>
                <w:highlight w:val="none"/>
                <w:u w:val="single"/>
              </w:rPr>
              <w:t xml:space="preserve">                           </w:t>
            </w:r>
          </w:p>
        </w:tc>
      </w:tr>
    </w:tbl>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注：</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、上述所有评审指标中涉及到相关证明材料均须在技术标中提供，未在技术标中提供的评委会可不予认可。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、“★”号参数须在</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文件中提供证明材料，证明材料是指以下条款至少一项：</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①医疗器械产品注册登记表附件中的“产品标准：YZB————”；</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②产品使用说明书或技术白皮书（Data Sheet）；</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③法定检测机构出具的完整的产品注册检测报告；</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④宣传彩页（彩页须有可公开查询的渠道供查询&lt;例如网站网址等&gt;，否则不予认可）；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⑤参数要求或评审办法中要求提供相关材料予以证明的，则提供相应材料即可。</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未提供或出现对相同技术指标的说明不一致,视为无效技术支持资料，评标委员会可认定为不满足“★”参数。</w:t>
      </w:r>
    </w:p>
    <w:p>
      <w:pPr>
        <w:adjustRightInd w:val="0"/>
        <w:snapToGrid w:val="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（“技术参数及要求”中已明确证明材料要求的，以“技术参数及要求”中的要求为准，否则视为负偏离；为便于评审，建议投标人对证明材料中的关键参数进行标注）。</w:t>
      </w:r>
    </w:p>
    <w:p>
      <w:pPr>
        <w:pStyle w:val="4"/>
        <w:rPr>
          <w:rFonts w:ascii="Times New Roman" w:hAnsi="Times New Roman"/>
          <w:color w:val="auto"/>
          <w:highlight w:val="none"/>
        </w:rPr>
      </w:pPr>
    </w:p>
    <w:p>
      <w:pPr>
        <w:widowControl/>
        <w:jc w:val="left"/>
        <w:rPr>
          <w:rFonts w:ascii="Times New Roman" w:hAnsi="Times New Roman" w:eastAsia="黑体"/>
          <w:b/>
          <w:color w:val="auto"/>
          <w:sz w:val="32"/>
          <w:szCs w:val="20"/>
          <w:highlight w:val="none"/>
        </w:rPr>
      </w:pPr>
    </w:p>
    <w:p>
      <w:pPr>
        <w:pStyle w:val="4"/>
        <w:rPr>
          <w:rFonts w:ascii="Times New Roman" w:hAnsi="Times New Roman"/>
          <w:color w:val="000000"/>
          <w:highlight w:val="none"/>
        </w:rPr>
      </w:pPr>
      <w:bookmarkStart w:id="281" w:name="_Toc32322"/>
      <w:r>
        <w:rPr>
          <w:rFonts w:ascii="Times New Roman" w:hAnsi="Times New Roman"/>
          <w:color w:val="auto"/>
          <w:highlight w:val="none"/>
        </w:rPr>
        <w:br w:type="page"/>
      </w:r>
      <w:bookmarkEnd w:id="279"/>
      <w:bookmarkEnd w:id="281"/>
      <w:bookmarkStart w:id="282" w:name="_Toc3519"/>
      <w:r>
        <w:rPr>
          <w:rFonts w:ascii="Times New Roman" w:hAnsi="Times New Roman"/>
          <w:color w:val="000000"/>
          <w:highlight w:val="none"/>
        </w:rPr>
        <w:t xml:space="preserve">1. </w:t>
      </w:r>
      <w:r>
        <w:rPr>
          <w:rFonts w:hint="eastAsia" w:ascii="Times New Roman" w:hAnsi="Times New Roman"/>
          <w:color w:val="000000"/>
          <w:highlight w:val="none"/>
        </w:rPr>
        <w:t>评审</w:t>
      </w:r>
      <w:r>
        <w:rPr>
          <w:rFonts w:ascii="Times New Roman" w:hAnsi="Times New Roman"/>
          <w:color w:val="000000"/>
          <w:highlight w:val="none"/>
        </w:rPr>
        <w:t>方法</w:t>
      </w:r>
      <w:r>
        <w:rPr>
          <w:rFonts w:hint="eastAsia" w:ascii="Times New Roman" w:hAnsi="Times New Roman"/>
          <w:color w:val="000000"/>
          <w:highlight w:val="none"/>
        </w:rPr>
        <w:t>（综合评分法）</w:t>
      </w:r>
      <w:bookmarkEnd w:id="282"/>
    </w:p>
    <w:p>
      <w:pPr>
        <w:spacing w:line="400" w:lineRule="exact"/>
        <w:ind w:firstLine="420" w:firstLineChars="200"/>
        <w:rPr>
          <w:rFonts w:ascii="Times New Roman" w:hAnsi="Times New Roman"/>
          <w:highlight w:val="none"/>
        </w:rPr>
      </w:pPr>
      <w:r>
        <w:rPr>
          <w:rFonts w:ascii="Times New Roman" w:hAnsi="Times New Roman"/>
          <w:color w:val="000000"/>
          <w:highlight w:val="none"/>
        </w:rPr>
        <w:t>本次</w:t>
      </w:r>
      <w:r>
        <w:rPr>
          <w:rFonts w:hint="eastAsia" w:ascii="Times New Roman" w:hAnsi="Times New Roman"/>
          <w:color w:val="000000"/>
          <w:highlight w:val="none"/>
        </w:rPr>
        <w:t>评审</w:t>
      </w:r>
      <w:r>
        <w:rPr>
          <w:rFonts w:ascii="Times New Roman" w:hAnsi="Times New Roman"/>
          <w:color w:val="000000"/>
          <w:highlight w:val="none"/>
        </w:rPr>
        <w:t>采用</w:t>
      </w:r>
      <w:r>
        <w:rPr>
          <w:rFonts w:hint="eastAsia" w:ascii="Times New Roman" w:hAnsi="Times New Roman"/>
          <w:color w:val="000000"/>
          <w:highlight w:val="none"/>
        </w:rPr>
        <w:t>综合评分法</w:t>
      </w:r>
      <w:r>
        <w:rPr>
          <w:rFonts w:ascii="Times New Roman" w:hAnsi="Times New Roman"/>
          <w:color w:val="000000"/>
          <w:highlight w:val="none"/>
        </w:rPr>
        <w:t>。</w:t>
      </w:r>
      <w:r>
        <w:rPr>
          <w:rFonts w:hint="eastAsia" w:ascii="Times New Roman" w:hAnsi="Times New Roman"/>
          <w:color w:val="000000"/>
          <w:highlight w:val="none"/>
        </w:rPr>
        <w:t>评审小组</w:t>
      </w:r>
      <w:r>
        <w:rPr>
          <w:rFonts w:ascii="Times New Roman" w:hAnsi="Times New Roman"/>
          <w:color w:val="000000"/>
          <w:highlight w:val="none"/>
        </w:rPr>
        <w:t>对满足</w:t>
      </w:r>
      <w:r>
        <w:rPr>
          <w:rFonts w:hint="eastAsia" w:ascii="Times New Roman" w:hAnsi="Times New Roman"/>
          <w:color w:val="000000"/>
          <w:highlight w:val="none"/>
        </w:rPr>
        <w:t>采购文件</w:t>
      </w:r>
      <w:r>
        <w:rPr>
          <w:rFonts w:ascii="Times New Roman" w:hAnsi="Times New Roman"/>
          <w:color w:val="000000"/>
          <w:highlight w:val="none"/>
        </w:rPr>
        <w:t>实质性要求的</w:t>
      </w:r>
      <w:r>
        <w:rPr>
          <w:rFonts w:hint="eastAsia" w:ascii="Times New Roman" w:hAnsi="Times New Roman"/>
          <w:color w:val="000000"/>
          <w:highlight w:val="none"/>
        </w:rPr>
        <w:t>响应文件</w:t>
      </w:r>
      <w:r>
        <w:rPr>
          <w:rFonts w:ascii="Times New Roman" w:hAnsi="Times New Roman"/>
          <w:color w:val="000000"/>
          <w:highlight w:val="none"/>
        </w:rPr>
        <w:t>，按照本章第</w:t>
      </w:r>
      <w:r>
        <w:rPr>
          <w:rFonts w:hint="eastAsia" w:ascii="Times New Roman" w:hAnsi="Times New Roman"/>
          <w:highlight w:val="none"/>
        </w:rPr>
        <w:t>3条</w:t>
      </w:r>
      <w:r>
        <w:rPr>
          <w:rFonts w:ascii="Times New Roman" w:hAnsi="Times New Roman"/>
          <w:color w:val="000000"/>
          <w:highlight w:val="none"/>
        </w:rPr>
        <w:t>规定的评分标准进行打分，并按得分由高到低顺序推荐</w:t>
      </w:r>
      <w:r>
        <w:rPr>
          <w:rFonts w:hint="eastAsia" w:ascii="Times New Roman" w:hAnsi="Times New Roman"/>
          <w:color w:val="000000"/>
          <w:highlight w:val="none"/>
        </w:rPr>
        <w:t>候选成交供应商</w:t>
      </w:r>
      <w:r>
        <w:rPr>
          <w:rFonts w:ascii="Times New Roman" w:hAnsi="Times New Roman"/>
          <w:color w:val="000000"/>
          <w:highlight w:val="none"/>
        </w:rPr>
        <w:t>。</w:t>
      </w:r>
    </w:p>
    <w:p>
      <w:pPr>
        <w:spacing w:line="400" w:lineRule="exact"/>
        <w:ind w:firstLine="420" w:firstLineChars="200"/>
        <w:rPr>
          <w:rFonts w:ascii="Times New Roman" w:hAnsi="Times New Roman"/>
          <w:color w:val="auto"/>
          <w:highlight w:val="none"/>
        </w:rPr>
      </w:pPr>
    </w:p>
    <w:p>
      <w:pPr>
        <w:pStyle w:val="4"/>
        <w:rPr>
          <w:rFonts w:ascii="Times New Roman" w:hAnsi="Times New Roman"/>
          <w:color w:val="auto"/>
          <w:highlight w:val="none"/>
        </w:rPr>
      </w:pPr>
      <w:bookmarkStart w:id="283" w:name="_Toc501460714"/>
      <w:bookmarkStart w:id="284" w:name="_Toc16254"/>
      <w:r>
        <w:rPr>
          <w:rFonts w:ascii="Times New Roman" w:hAnsi="Times New Roman"/>
          <w:color w:val="auto"/>
          <w:highlight w:val="none"/>
        </w:rPr>
        <w:t xml:space="preserve">2. </w:t>
      </w:r>
      <w:r>
        <w:rPr>
          <w:rFonts w:hint="eastAsia" w:ascii="Times New Roman" w:hAnsi="Times New Roman"/>
          <w:color w:val="auto"/>
          <w:highlight w:val="none"/>
        </w:rPr>
        <w:t>初步</w:t>
      </w:r>
      <w:r>
        <w:rPr>
          <w:rFonts w:ascii="Times New Roman" w:hAnsi="Times New Roman"/>
          <w:color w:val="auto"/>
          <w:highlight w:val="none"/>
        </w:rPr>
        <w:t>评审标准</w:t>
      </w:r>
      <w:bookmarkEnd w:id="283"/>
      <w:r>
        <w:rPr>
          <w:rFonts w:hint="eastAsia" w:ascii="Times New Roman" w:hAnsi="Times New Roman"/>
          <w:color w:val="auto"/>
          <w:highlight w:val="none"/>
        </w:rPr>
        <w:t>和程序</w:t>
      </w:r>
      <w:bookmarkEnd w:id="284"/>
    </w:p>
    <w:p>
      <w:pPr>
        <w:pStyle w:val="2"/>
        <w:spacing w:line="240" w:lineRule="auto"/>
        <w:ind w:firstLine="137"/>
        <w:rPr>
          <w:rFonts w:ascii="Times New Roman" w:hAnsi="Times New Roman"/>
          <w:color w:val="auto"/>
          <w:highlight w:val="none"/>
        </w:rPr>
      </w:pPr>
      <w:bookmarkStart w:id="285" w:name="_Toc26318"/>
      <w:bookmarkStart w:id="286" w:name="_Toc501460715"/>
      <w:r>
        <w:rPr>
          <w:rFonts w:ascii="Times New Roman" w:hAnsi="Times New Roman"/>
          <w:color w:val="auto"/>
          <w:highlight w:val="none"/>
        </w:rPr>
        <w:t>2.1 初步评审标准</w:t>
      </w:r>
      <w:bookmarkEnd w:id="285"/>
      <w:bookmarkEnd w:id="286"/>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2.1.1 形式评审标准：见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2.1.2 资格评审标准：见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2.1.3 响应性评审标准：见</w:t>
      </w:r>
      <w:r>
        <w:rPr>
          <w:rFonts w:hint="eastAsia" w:ascii="黑体" w:hAnsi="黑体" w:eastAsia="黑体" w:cs="黑体"/>
          <w:iCs/>
          <w:color w:val="auto"/>
          <w:highlight w:val="none"/>
        </w:rPr>
        <w:t>评审办法前附表</w:t>
      </w:r>
      <w:r>
        <w:rPr>
          <w:rFonts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287" w:name="_Toc25504"/>
      <w:bookmarkStart w:id="288" w:name="_Toc501460716"/>
      <w:r>
        <w:rPr>
          <w:rFonts w:ascii="Times New Roman" w:hAnsi="Times New Roman"/>
          <w:color w:val="auto"/>
          <w:highlight w:val="none"/>
        </w:rPr>
        <w:t xml:space="preserve">2.2 </w:t>
      </w:r>
      <w:r>
        <w:rPr>
          <w:rFonts w:hint="eastAsia" w:ascii="Times New Roman" w:hAnsi="Times New Roman"/>
          <w:color w:val="auto"/>
          <w:highlight w:val="none"/>
        </w:rPr>
        <w:t>初步评审程序</w:t>
      </w:r>
      <w:bookmarkEnd w:id="287"/>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评审小组</w:t>
      </w:r>
      <w:r>
        <w:rPr>
          <w:rFonts w:ascii="Times New Roman" w:hAnsi="Times New Roman"/>
          <w:color w:val="auto"/>
          <w:highlight w:val="none"/>
        </w:rPr>
        <w:t>依据本章第2.1款规定的标准</w:t>
      </w:r>
      <w:r>
        <w:rPr>
          <w:rFonts w:hint="eastAsia" w:ascii="Times New Roman" w:hAnsi="Times New Roman"/>
          <w:color w:val="auto"/>
          <w:highlight w:val="none"/>
        </w:rPr>
        <w:t>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2.2.2 除评审办法前附表另有规定外，评审价格为供应商在响应函中填报的大写含税价格。</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评审价格若超过最高限价（如有），其响应文件将被视为无效。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响应文件有算术错误及其他错误的</w:t>
      </w:r>
      <w:r>
        <w:rPr>
          <w:rFonts w:hint="eastAsia" w:ascii="Times New Roman" w:hAnsi="Times New Roman"/>
          <w:color w:val="auto"/>
          <w:highlight w:val="none"/>
        </w:rPr>
        <w:t>，</w:t>
      </w:r>
      <w:r>
        <w:rPr>
          <w:rFonts w:ascii="Times New Roman" w:hAnsi="Times New Roman"/>
          <w:color w:val="auto"/>
          <w:highlight w:val="none"/>
        </w:rPr>
        <w:t>评审小组按以下原则要求供应商对响应报价进行修正</w:t>
      </w:r>
      <w:r>
        <w:rPr>
          <w:rFonts w:hint="eastAsia" w:ascii="Times New Roman" w:hAnsi="Times New Roman"/>
          <w:color w:val="auto"/>
          <w:highlight w:val="none"/>
        </w:rPr>
        <w:t>，</w:t>
      </w:r>
      <w:r>
        <w:rPr>
          <w:rFonts w:ascii="Times New Roman" w:hAnsi="Times New Roman"/>
          <w:color w:val="auto"/>
          <w:highlight w:val="none"/>
        </w:rPr>
        <w:t>并要求供应商书面澄清确认</w:t>
      </w:r>
      <w:r>
        <w:rPr>
          <w:rFonts w:hint="eastAsia" w:ascii="Times New Roman" w:hAnsi="Times New Roman"/>
          <w:color w:val="auto"/>
          <w:highlight w:val="none"/>
        </w:rPr>
        <w:t>。供应商拒不澄清确认的，其响应文件将被视为无效：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（1）大写金额与小写金额不一致的，以大写金额为准；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（2）总价金额与单价金额不一致的以单价金额为准，但单价金额小数点有明显错误的除外；</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（3）报价表合计报价与分项报价的合计不一致的，以各分项报价的合计累计数为准；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（4）如果分项报价中存在缺漏项，且缺漏项内容不属于实质性偏差的，则视为缺漏项内容的价格已包含在其他分项报价之中。</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响应报价的算术错误修正不改变评审依据的响应总报价</w:t>
      </w:r>
      <w:r>
        <w:rPr>
          <w:rFonts w:hint="eastAsia" w:ascii="Times New Roman" w:hAnsi="Times New Roman"/>
          <w:color w:val="auto"/>
          <w:highlight w:val="none"/>
        </w:rPr>
        <w:t>。</w:t>
      </w:r>
      <w:r>
        <w:rPr>
          <w:rFonts w:ascii="Times New Roman" w:hAnsi="Times New Roman"/>
          <w:color w:val="auto"/>
          <w:highlight w:val="none"/>
        </w:rPr>
        <w:t>当修正后的总报价高于原响应报价时</w:t>
      </w:r>
      <w:r>
        <w:rPr>
          <w:rFonts w:hint="eastAsia" w:ascii="Times New Roman" w:hAnsi="Times New Roman"/>
          <w:color w:val="auto"/>
          <w:highlight w:val="none"/>
        </w:rPr>
        <w:t>，</w:t>
      </w:r>
      <w:r>
        <w:rPr>
          <w:rFonts w:ascii="Times New Roman" w:hAnsi="Times New Roman"/>
          <w:color w:val="auto"/>
          <w:highlight w:val="none"/>
        </w:rPr>
        <w:t>视同供应商响应报价错误产生少漏计费用</w:t>
      </w:r>
      <w:r>
        <w:rPr>
          <w:rFonts w:hint="eastAsia" w:ascii="Times New Roman" w:hAnsi="Times New Roman"/>
          <w:color w:val="auto"/>
          <w:highlight w:val="none"/>
        </w:rPr>
        <w:t>，签订合同时由供应商承担，如评审小组认为供应商无法承受</w:t>
      </w:r>
      <w:r>
        <w:rPr>
          <w:rFonts w:ascii="Times New Roman" w:hAnsi="Times New Roman"/>
          <w:color w:val="auto"/>
          <w:highlight w:val="none"/>
        </w:rPr>
        <w:t>少漏计费用</w:t>
      </w:r>
      <w:r>
        <w:rPr>
          <w:rFonts w:hint="eastAsia" w:ascii="Times New Roman" w:hAnsi="Times New Roman"/>
          <w:color w:val="auto"/>
          <w:highlight w:val="none"/>
        </w:rPr>
        <w:t>，</w:t>
      </w:r>
      <w:r>
        <w:rPr>
          <w:rFonts w:ascii="Times New Roman" w:hAnsi="Times New Roman"/>
          <w:color w:val="auto"/>
          <w:highlight w:val="none"/>
        </w:rPr>
        <w:t>可以将响应报价作为异常低价处理</w:t>
      </w:r>
      <w:r>
        <w:rPr>
          <w:rFonts w:hint="eastAsia" w:ascii="Times New Roman" w:hAnsi="Times New Roman"/>
          <w:color w:val="auto"/>
          <w:highlight w:val="none"/>
        </w:rPr>
        <w:t>；</w:t>
      </w:r>
      <w:r>
        <w:rPr>
          <w:rFonts w:ascii="Times New Roman" w:hAnsi="Times New Roman"/>
          <w:color w:val="auto"/>
          <w:highlight w:val="none"/>
        </w:rPr>
        <w:t>当修正后的总报价低于原响应报价时</w:t>
      </w:r>
      <w:r>
        <w:rPr>
          <w:rFonts w:hint="eastAsia" w:ascii="Times New Roman" w:hAnsi="Times New Roman"/>
          <w:color w:val="auto"/>
          <w:highlight w:val="none"/>
        </w:rPr>
        <w:t>，</w:t>
      </w:r>
      <w:r>
        <w:rPr>
          <w:rFonts w:ascii="Times New Roman" w:hAnsi="Times New Roman"/>
          <w:color w:val="auto"/>
          <w:highlight w:val="none"/>
        </w:rPr>
        <w:t>签订合同时以修正后的报价为准</w:t>
      </w:r>
      <w:r>
        <w:rPr>
          <w:rFonts w:hint="eastAsia" w:ascii="Times New Roman" w:hAnsi="Times New Roman"/>
          <w:color w:val="auto"/>
          <w:highlight w:val="none"/>
        </w:rPr>
        <w:t>。</w:t>
      </w:r>
    </w:p>
    <w:bookmarkEnd w:id="288"/>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2.2.4供应商</w:t>
      </w:r>
      <w:r>
        <w:rPr>
          <w:rFonts w:ascii="Times New Roman" w:hAnsi="Times New Roman"/>
          <w:color w:val="auto"/>
          <w:highlight w:val="none"/>
        </w:rPr>
        <w:t>有串通、弄虚作假、行贿等违法行为</w:t>
      </w:r>
      <w:r>
        <w:rPr>
          <w:rFonts w:hint="eastAsia" w:ascii="Times New Roman" w:hAnsi="Times New Roman"/>
          <w:color w:val="auto"/>
          <w:highlight w:val="none"/>
        </w:rPr>
        <w:t>的，其响应文件将被视为无效。</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2.2.5特殊情形处理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如评审小组认为所有响应文件均无效</w:t>
      </w:r>
      <w:r>
        <w:rPr>
          <w:rFonts w:hint="eastAsia" w:ascii="Times New Roman" w:hAnsi="Times New Roman"/>
          <w:color w:val="auto"/>
          <w:highlight w:val="none"/>
        </w:rPr>
        <w:t>，</w:t>
      </w:r>
      <w:r>
        <w:rPr>
          <w:rFonts w:ascii="Times New Roman" w:hAnsi="Times New Roman"/>
          <w:color w:val="auto"/>
          <w:highlight w:val="none"/>
        </w:rPr>
        <w:t>或者所有响应报价竞争性不足</w:t>
      </w:r>
      <w:r>
        <w:rPr>
          <w:rFonts w:hint="eastAsia" w:ascii="Times New Roman" w:hAnsi="Times New Roman"/>
          <w:color w:val="auto"/>
          <w:highlight w:val="none"/>
        </w:rPr>
        <w:t>，</w:t>
      </w:r>
      <w:r>
        <w:rPr>
          <w:rFonts w:ascii="Times New Roman" w:hAnsi="Times New Roman"/>
          <w:color w:val="auto"/>
          <w:highlight w:val="none"/>
        </w:rPr>
        <w:t>高于市场预期价格</w:t>
      </w:r>
      <w:r>
        <w:rPr>
          <w:rFonts w:hint="eastAsia" w:ascii="Times New Roman" w:hAnsi="Times New Roman"/>
          <w:color w:val="auto"/>
          <w:highlight w:val="none"/>
        </w:rPr>
        <w:t>，</w:t>
      </w:r>
      <w:r>
        <w:rPr>
          <w:rFonts w:ascii="Times New Roman" w:hAnsi="Times New Roman"/>
          <w:color w:val="auto"/>
          <w:highlight w:val="none"/>
        </w:rPr>
        <w:t>评审小组应当终止评审</w:t>
      </w:r>
      <w:r>
        <w:rPr>
          <w:rFonts w:hint="eastAsia" w:ascii="Times New Roman" w:hAnsi="Times New Roman"/>
          <w:color w:val="auto"/>
          <w:highlight w:val="none"/>
        </w:rPr>
        <w:t>，</w:t>
      </w:r>
      <w:r>
        <w:rPr>
          <w:rFonts w:ascii="Times New Roman" w:hAnsi="Times New Roman"/>
          <w:color w:val="auto"/>
          <w:highlight w:val="none"/>
        </w:rPr>
        <w:t>获经采购人同意</w:t>
      </w:r>
      <w:r>
        <w:rPr>
          <w:rFonts w:hint="eastAsia" w:ascii="Times New Roman" w:hAnsi="Times New Roman"/>
          <w:color w:val="auto"/>
          <w:highlight w:val="none"/>
        </w:rPr>
        <w:t>，</w:t>
      </w:r>
      <w:r>
        <w:rPr>
          <w:rFonts w:ascii="Times New Roman" w:hAnsi="Times New Roman"/>
          <w:color w:val="auto"/>
          <w:highlight w:val="none"/>
        </w:rPr>
        <w:t>直接转换选择其他采购方式</w:t>
      </w:r>
      <w:r>
        <w:rPr>
          <w:rFonts w:hint="eastAsia" w:ascii="Times New Roman" w:hAnsi="Times New Roman"/>
          <w:color w:val="auto"/>
          <w:highlight w:val="none"/>
        </w:rPr>
        <w:t>，</w:t>
      </w:r>
      <w:r>
        <w:rPr>
          <w:rFonts w:ascii="Times New Roman" w:hAnsi="Times New Roman"/>
          <w:color w:val="auto"/>
          <w:highlight w:val="none"/>
        </w:rPr>
        <w:t>与原供应商共同完成后续采购程序</w:t>
      </w:r>
      <w:r>
        <w:rPr>
          <w:rFonts w:hint="eastAsia"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选择直接转换采购方式采购的</w:t>
      </w:r>
      <w:r>
        <w:rPr>
          <w:rFonts w:hint="eastAsia" w:ascii="Times New Roman" w:hAnsi="Times New Roman"/>
          <w:color w:val="auto"/>
          <w:highlight w:val="none"/>
        </w:rPr>
        <w:t>，</w:t>
      </w:r>
      <w:r>
        <w:rPr>
          <w:rFonts w:ascii="Times New Roman" w:hAnsi="Times New Roman"/>
          <w:color w:val="auto"/>
          <w:highlight w:val="none"/>
        </w:rPr>
        <w:t>评审小组按照本章第</w:t>
      </w:r>
      <w:r>
        <w:rPr>
          <w:rFonts w:hint="eastAsia" w:ascii="Times New Roman" w:hAnsi="Times New Roman"/>
          <w:color w:val="auto"/>
          <w:highlight w:val="none"/>
        </w:rPr>
        <w:t>5条“直接转换采购方式评审程序”重新评审。除了采购人与供应商双方提出修改补充兵接受新的条件和要求外，原采购文件与原响应文件对采购人和供应商仍然具有相应约束力。</w:t>
      </w:r>
    </w:p>
    <w:p>
      <w:pPr>
        <w:pStyle w:val="4"/>
        <w:rPr>
          <w:rFonts w:hint="eastAsia" w:ascii="Times New Roman" w:hAnsi="Times New Roman"/>
          <w:color w:val="000000"/>
          <w:highlight w:val="none"/>
        </w:rPr>
      </w:pPr>
      <w:bookmarkStart w:id="289" w:name="_Toc352691538"/>
      <w:bookmarkEnd w:id="289"/>
      <w:bookmarkStart w:id="290" w:name="_Toc369531582"/>
      <w:bookmarkEnd w:id="290"/>
      <w:bookmarkStart w:id="291" w:name="_Toc342"/>
      <w:bookmarkEnd w:id="291"/>
      <w:bookmarkStart w:id="292" w:name="_Toc152042380"/>
      <w:bookmarkEnd w:id="292"/>
      <w:bookmarkStart w:id="293" w:name="_Toc300835013"/>
      <w:bookmarkEnd w:id="293"/>
      <w:bookmarkStart w:id="294" w:name="_Toc144974570"/>
      <w:bookmarkEnd w:id="294"/>
      <w:bookmarkStart w:id="295" w:name="_Toc152045603"/>
      <w:bookmarkEnd w:id="295"/>
      <w:bookmarkStart w:id="296" w:name="_Toc361508651"/>
      <w:bookmarkEnd w:id="296"/>
      <w:bookmarkStart w:id="297" w:name="_Toc247527628"/>
      <w:bookmarkEnd w:id="297"/>
      <w:bookmarkStart w:id="298" w:name="_Toc247514027"/>
      <w:bookmarkEnd w:id="298"/>
      <w:bookmarkStart w:id="299" w:name="_Toc2907"/>
      <w:bookmarkEnd w:id="299"/>
      <w:bookmarkStart w:id="300" w:name="_Toc384308277"/>
      <w:bookmarkEnd w:id="300"/>
      <w:bookmarkStart w:id="301" w:name="_Toc5223"/>
      <w:bookmarkStart w:id="302" w:name="_Toc501460721"/>
      <w:bookmarkStart w:id="303" w:name="_Toc13972"/>
      <w:bookmarkStart w:id="304" w:name="_Toc501460722"/>
      <w:r>
        <w:rPr>
          <w:rFonts w:hint="eastAsia" w:ascii="Times New Roman" w:hAnsi="Times New Roman"/>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详细</w:t>
      </w:r>
      <w:r>
        <w:rPr>
          <w:rFonts w:ascii="Times New Roman" w:hAnsi="Times New Roman"/>
          <w:color w:val="000000"/>
          <w:highlight w:val="none"/>
        </w:rPr>
        <w:t>评审标准</w:t>
      </w:r>
      <w:r>
        <w:rPr>
          <w:rFonts w:hint="eastAsia" w:ascii="Times New Roman" w:hAnsi="Times New Roman"/>
          <w:color w:val="000000"/>
          <w:highlight w:val="none"/>
        </w:rPr>
        <w:t>和程序（综合评分法）</w:t>
      </w:r>
      <w:bookmarkEnd w:id="301"/>
    </w:p>
    <w:p>
      <w:pPr>
        <w:pStyle w:val="2"/>
        <w:spacing w:line="240" w:lineRule="auto"/>
        <w:ind w:firstLine="137"/>
        <w:rPr>
          <w:rFonts w:ascii="Times New Roman" w:hAnsi="Times New Roman"/>
          <w:color w:val="000000"/>
          <w:highlight w:val="none"/>
        </w:rPr>
      </w:pPr>
      <w:bookmarkStart w:id="305" w:name="_Toc1037"/>
      <w:r>
        <w:rPr>
          <w:rFonts w:hint="eastAsia" w:ascii="Times New Roman" w:hAnsi="Times New Roman"/>
          <w:color w:val="000000"/>
          <w:highlight w:val="none"/>
        </w:rPr>
        <w:t>3.1</w:t>
      </w:r>
      <w:r>
        <w:rPr>
          <w:rFonts w:ascii="Times New Roman" w:hAnsi="Times New Roman"/>
          <w:color w:val="000000"/>
          <w:highlight w:val="none"/>
        </w:rPr>
        <w:t xml:space="preserve"> </w:t>
      </w:r>
      <w:r>
        <w:rPr>
          <w:rFonts w:hint="eastAsia" w:ascii="Times New Roman" w:hAnsi="Times New Roman"/>
          <w:color w:val="000000"/>
          <w:highlight w:val="none"/>
        </w:rPr>
        <w:t>分值构成</w:t>
      </w:r>
      <w:bookmarkEnd w:id="305"/>
    </w:p>
    <w:p>
      <w:pPr>
        <w:spacing w:line="400" w:lineRule="exact"/>
        <w:ind w:firstLine="420" w:firstLineChars="200"/>
        <w:rPr>
          <w:rFonts w:ascii="Times New Roman" w:hAnsi="Times New Roman"/>
          <w:highlight w:val="none"/>
        </w:rPr>
      </w:pPr>
      <w:r>
        <w:rPr>
          <w:rFonts w:hint="eastAsia" w:ascii="Times New Roman" w:hAnsi="Times New Roman"/>
          <w:highlight w:val="none"/>
        </w:rPr>
        <w:t>（1）商务部分：见评审办法前附表；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（2）技术部分：见评审办法前附表；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（3）报价：见评审办法前附表；</w:t>
      </w:r>
    </w:p>
    <w:p>
      <w:pPr>
        <w:spacing w:line="400" w:lineRule="exact"/>
        <w:ind w:firstLine="420" w:firstLineChars="200"/>
        <w:rPr>
          <w:rFonts w:ascii="Times New Roman" w:hAnsi="Times New Roman"/>
          <w:highlight w:val="none"/>
        </w:rPr>
      </w:pPr>
      <w:r>
        <w:rPr>
          <w:rFonts w:hint="eastAsia" w:ascii="Times New Roman" w:hAnsi="Times New Roman"/>
          <w:highlight w:val="none"/>
        </w:rPr>
        <w:t>（4）其他评分因素</w:t>
      </w:r>
      <w:r>
        <w:rPr>
          <w:rFonts w:ascii="Times New Roman" w:hAnsi="Times New Roman"/>
          <w:highlight w:val="none"/>
        </w:rPr>
        <w:t>：</w:t>
      </w:r>
      <w:r>
        <w:rPr>
          <w:rFonts w:hint="eastAsia" w:ascii="Times New Roman" w:hAnsi="Times New Roman"/>
          <w:highlight w:val="none"/>
        </w:rPr>
        <w:t>见评审办法前附表。</w:t>
      </w:r>
    </w:p>
    <w:p>
      <w:pPr>
        <w:pStyle w:val="2"/>
        <w:spacing w:line="240" w:lineRule="auto"/>
        <w:ind w:firstLine="137"/>
        <w:rPr>
          <w:rFonts w:ascii="Times New Roman" w:hAnsi="Times New Roman"/>
          <w:color w:val="000000"/>
          <w:highlight w:val="none"/>
        </w:rPr>
      </w:pPr>
      <w:bookmarkStart w:id="306" w:name="_Toc12856"/>
      <w:r>
        <w:rPr>
          <w:rFonts w:hint="eastAsia" w:ascii="Times New Roman" w:hAnsi="Times New Roman"/>
          <w:color w:val="000000"/>
          <w:highlight w:val="none"/>
        </w:rPr>
        <w:t>3.2</w:t>
      </w:r>
      <w:r>
        <w:rPr>
          <w:rFonts w:ascii="Times New Roman" w:hAnsi="Times New Roman"/>
          <w:color w:val="000000"/>
          <w:highlight w:val="none"/>
        </w:rPr>
        <w:t xml:space="preserve"> </w:t>
      </w:r>
      <w:r>
        <w:rPr>
          <w:rFonts w:hint="eastAsia" w:ascii="Times New Roman" w:hAnsi="Times New Roman"/>
          <w:color w:val="000000"/>
          <w:highlight w:val="none"/>
        </w:rPr>
        <w:t>评审基准价计算</w:t>
      </w:r>
      <w:bookmarkEnd w:id="306"/>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（1）评审价格：评审价格为按照本章</w:t>
      </w:r>
      <w:r>
        <w:rPr>
          <w:rFonts w:ascii="Times New Roman" w:hAnsi="Times New Roman"/>
          <w:color w:val="000000"/>
          <w:highlight w:val="none"/>
        </w:rPr>
        <w:t>第</w:t>
      </w:r>
      <w:r>
        <w:rPr>
          <w:rFonts w:hint="eastAsia" w:ascii="Times New Roman" w:hAnsi="Times New Roman"/>
          <w:color w:val="000000"/>
          <w:highlight w:val="none"/>
        </w:rPr>
        <w:t>2.2.2项规定确定的价格</w:t>
      </w:r>
      <w:r>
        <w:rPr>
          <w:rFonts w:ascii="Times New Roman" w:hAnsi="Times New Roman"/>
          <w:color w:val="000000"/>
          <w:highlight w:val="none"/>
        </w:rPr>
        <w:t>。</w:t>
      </w:r>
    </w:p>
    <w:p>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（2）评审</w:t>
      </w:r>
      <w:r>
        <w:rPr>
          <w:rFonts w:ascii="Times New Roman" w:hAnsi="Times New Roman"/>
          <w:color w:val="000000"/>
          <w:highlight w:val="none"/>
        </w:rPr>
        <w:t>基准价计算方法：</w:t>
      </w:r>
    </w:p>
    <w:p>
      <w:pPr>
        <w:spacing w:line="400" w:lineRule="exact"/>
        <w:ind w:firstLine="420" w:firstLineChars="200"/>
        <w:rPr>
          <w:highlight w:val="none"/>
        </w:rPr>
      </w:pPr>
      <w:r>
        <w:rPr>
          <w:rFonts w:hint="eastAsia"/>
          <w:highlight w:val="none"/>
        </w:rPr>
        <w:t>方法一：评审基准价=评审价格平均值（即通过初步评审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p>
    <w:p>
      <w:pPr>
        <w:spacing w:line="400" w:lineRule="exact"/>
        <w:ind w:firstLine="420" w:firstLineChars="200"/>
        <w:rPr>
          <w:highlight w:val="none"/>
        </w:rPr>
      </w:pPr>
      <w:r>
        <w:rPr>
          <w:rFonts w:hint="eastAsia"/>
          <w:highlight w:val="none"/>
        </w:rPr>
        <w:t>方法二：评审基准价=评审价格平均值（即通过初步评审</w:t>
      </w:r>
      <w:r>
        <w:rPr>
          <w:highlight w:val="none"/>
        </w:rPr>
        <w:t>的所有</w:t>
      </w:r>
      <w:r>
        <w:rPr>
          <w:rFonts w:hint="eastAsia"/>
          <w:highlight w:val="none"/>
        </w:rPr>
        <w:t>供应商</w:t>
      </w:r>
      <w:r>
        <w:rPr>
          <w:highlight w:val="none"/>
        </w:rPr>
        <w:t>评</w:t>
      </w:r>
      <w:r>
        <w:rPr>
          <w:rFonts w:hint="eastAsia"/>
          <w:highlight w:val="none"/>
        </w:rPr>
        <w:t>审价格的算术</w:t>
      </w:r>
      <w:r>
        <w:rPr>
          <w:highlight w:val="none"/>
        </w:rPr>
        <w:t>平均值</w:t>
      </w:r>
      <w:r>
        <w:rPr>
          <w:rFonts w:hint="eastAsia"/>
          <w:highlight w:val="none"/>
        </w:rPr>
        <w:t>）</w:t>
      </w:r>
      <w:r>
        <w:rPr>
          <w:rFonts w:ascii="Arial" w:hAnsi="Arial" w:cs="Arial"/>
          <w:highlight w:val="none"/>
        </w:rPr>
        <w:t>×</w:t>
      </w:r>
      <w:r>
        <w:rPr>
          <w:rFonts w:hint="eastAsia"/>
          <w:highlight w:val="none"/>
        </w:rPr>
        <w:t>评审基准价系数，评审基准价系数的取值见评审办法前附表。</w:t>
      </w:r>
    </w:p>
    <w:p>
      <w:pPr>
        <w:spacing w:line="400" w:lineRule="exact"/>
        <w:ind w:firstLine="420" w:firstLineChars="200"/>
        <w:rPr>
          <w:highlight w:val="none"/>
        </w:rPr>
      </w:pPr>
      <w:r>
        <w:rPr>
          <w:rFonts w:hint="eastAsia"/>
          <w:highlight w:val="none"/>
        </w:rPr>
        <w:t>方法三：评审基准价=通过初步评审</w:t>
      </w:r>
      <w:r>
        <w:rPr>
          <w:highlight w:val="none"/>
        </w:rPr>
        <w:t>的所有</w:t>
      </w:r>
      <w:r>
        <w:rPr>
          <w:rFonts w:hint="eastAsia"/>
          <w:highlight w:val="none"/>
        </w:rPr>
        <w:t>供应商</w:t>
      </w:r>
      <w:r>
        <w:rPr>
          <w:highlight w:val="none"/>
        </w:rPr>
        <w:t>的最低</w:t>
      </w:r>
      <w:r>
        <w:rPr>
          <w:rFonts w:hint="eastAsia"/>
          <w:highlight w:val="none"/>
        </w:rPr>
        <w:t>评审价格。</w:t>
      </w:r>
    </w:p>
    <w:p>
      <w:pPr>
        <w:spacing w:line="400" w:lineRule="exact"/>
        <w:ind w:firstLine="420" w:firstLineChars="200"/>
        <w:rPr>
          <w:highlight w:val="none"/>
        </w:rPr>
      </w:pPr>
      <w:r>
        <w:rPr>
          <w:highlight w:val="none"/>
        </w:rPr>
        <w:t>方法四：采购人确定的其他方法。</w:t>
      </w:r>
    </w:p>
    <w:p>
      <w:pPr>
        <w:spacing w:line="400" w:lineRule="exact"/>
        <w:ind w:firstLine="420" w:firstLineChars="200"/>
        <w:rPr>
          <w:rFonts w:hint="eastAsia"/>
          <w:highlight w:val="none"/>
        </w:rPr>
      </w:pPr>
      <w:r>
        <w:rPr>
          <w:highlight w:val="none"/>
        </w:rPr>
        <w:t>评审基准价计算方法的选择见评审办法前附表</w:t>
      </w:r>
      <w:r>
        <w:rPr>
          <w:rFonts w:hint="eastAsia"/>
          <w:highlight w:val="none"/>
        </w:rPr>
        <w:t>。</w:t>
      </w:r>
    </w:p>
    <w:p>
      <w:pPr>
        <w:pStyle w:val="2"/>
        <w:spacing w:line="240" w:lineRule="auto"/>
        <w:ind w:firstLine="137"/>
        <w:rPr>
          <w:rFonts w:ascii="Times New Roman" w:hAnsi="Times New Roman"/>
          <w:color w:val="000000"/>
          <w:highlight w:val="none"/>
        </w:rPr>
      </w:pPr>
      <w:bookmarkStart w:id="307" w:name="_Toc3603"/>
      <w:r>
        <w:rPr>
          <w:rFonts w:hint="eastAsia" w:ascii="Times New Roman" w:hAnsi="Times New Roman"/>
          <w:color w:val="000000"/>
          <w:highlight w:val="none"/>
        </w:rPr>
        <w:t>3.3评分标准</w:t>
      </w:r>
      <w:bookmarkEnd w:id="307"/>
    </w:p>
    <w:p>
      <w:pPr>
        <w:spacing w:line="400" w:lineRule="exact"/>
        <w:ind w:firstLine="420" w:firstLineChars="200"/>
        <w:rPr>
          <w:rFonts w:ascii="Times New Roman" w:hAnsi="Times New Roman"/>
          <w:highlight w:val="none"/>
        </w:rPr>
      </w:pPr>
      <w:r>
        <w:rPr>
          <w:rFonts w:ascii="Times New Roman" w:hAnsi="Times New Roman"/>
          <w:highlight w:val="none"/>
        </w:rPr>
        <w:t>（1）商务评分标准：见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（2）技术评分标准：见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spacing w:line="400" w:lineRule="exact"/>
        <w:ind w:firstLine="420" w:firstLineChars="20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报价</w:t>
      </w:r>
      <w:r>
        <w:rPr>
          <w:rFonts w:ascii="Times New Roman" w:hAnsi="Times New Roman"/>
          <w:highlight w:val="none"/>
        </w:rPr>
        <w:t>评分标准：</w:t>
      </w:r>
    </w:p>
    <w:p>
      <w:pPr>
        <w:spacing w:line="400" w:lineRule="exact"/>
        <w:ind w:firstLine="420" w:firstLineChars="200"/>
        <w:rPr>
          <w:highlight w:val="none"/>
        </w:rPr>
      </w:pPr>
      <w:r>
        <w:rPr>
          <w:rFonts w:hint="eastAsia"/>
          <w:highlight w:val="none"/>
        </w:rPr>
        <w:t>报价得分可采用如下方法计算：</w:t>
      </w:r>
    </w:p>
    <w:p>
      <w:pPr>
        <w:spacing w:line="380" w:lineRule="atLeast"/>
        <w:ind w:firstLine="420" w:firstLineChars="200"/>
        <w:rPr>
          <w:szCs w:val="21"/>
          <w:highlight w:val="none"/>
        </w:rPr>
      </w:pPr>
      <w:r>
        <w:rPr>
          <w:rFonts w:hint="eastAsia" w:ascii="Times New Roman" w:hAnsi="Times New Roman"/>
          <w:highlight w:val="none"/>
        </w:rPr>
        <w:t>方法一：</w:t>
      </w:r>
      <w:r>
        <w:rPr>
          <w:szCs w:val="21"/>
          <w:highlight w:val="none"/>
        </w:rPr>
        <w:t>偏差率=（供应商评审价格−评审基准价）/评审基准价×</w:t>
      </w:r>
      <w:r>
        <w:rPr>
          <w:rFonts w:hint="eastAsia"/>
          <w:szCs w:val="21"/>
          <w:highlight w:val="none"/>
        </w:rPr>
        <w:t>1</w:t>
      </w:r>
      <w:r>
        <w:rPr>
          <w:szCs w:val="21"/>
          <w:highlight w:val="none"/>
        </w:rPr>
        <w:t xml:space="preserve">00% </w:t>
      </w:r>
    </w:p>
    <w:p>
      <w:pPr>
        <w:spacing w:line="380" w:lineRule="atLeast"/>
        <w:ind w:firstLine="420" w:firstLineChars="200"/>
        <w:rPr>
          <w:szCs w:val="21"/>
          <w:highlight w:val="none"/>
        </w:rPr>
      </w:pPr>
      <w:r>
        <w:rPr>
          <w:rFonts w:ascii="Times New Roman" w:hAnsi="Times New Roman"/>
          <w:szCs w:val="24"/>
          <w:highlight w:val="none"/>
        </w:rPr>
        <w:t xml:space="preserve">① </w:t>
      </w:r>
      <w:r>
        <w:rPr>
          <w:szCs w:val="21"/>
          <w:highlight w:val="none"/>
        </w:rPr>
        <w:t>如果</w:t>
      </w:r>
      <w:r>
        <w:rPr>
          <w:rFonts w:hint="eastAsia"/>
          <w:szCs w:val="21"/>
          <w:highlight w:val="none"/>
        </w:rPr>
        <w:t>供应商</w:t>
      </w:r>
      <w:r>
        <w:rPr>
          <w:szCs w:val="21"/>
          <w:highlight w:val="none"/>
        </w:rPr>
        <w:t>的</w:t>
      </w:r>
      <w:r>
        <w:rPr>
          <w:rFonts w:hint="eastAsia"/>
          <w:szCs w:val="21"/>
          <w:highlight w:val="none"/>
        </w:rPr>
        <w:t>评审价格</w:t>
      </w:r>
      <w:r>
        <w:rPr>
          <w:szCs w:val="21"/>
          <w:highlight w:val="none"/>
        </w:rPr>
        <w:t>&gt;评</w:t>
      </w:r>
      <w:r>
        <w:rPr>
          <w:rFonts w:hint="eastAsia"/>
          <w:szCs w:val="21"/>
          <w:highlight w:val="none"/>
        </w:rPr>
        <w:t>审</w:t>
      </w:r>
      <w:r>
        <w:rPr>
          <w:szCs w:val="21"/>
          <w:highlight w:val="none"/>
        </w:rPr>
        <w:t>基准价，则</w:t>
      </w:r>
      <w:r>
        <w:rPr>
          <w:rFonts w:hint="eastAsia"/>
          <w:szCs w:val="21"/>
          <w:highlight w:val="none"/>
        </w:rPr>
        <w:t>报价得分</w:t>
      </w:r>
      <w:r>
        <w:rPr>
          <w:szCs w:val="21"/>
          <w:highlight w:val="none"/>
        </w:rPr>
        <w:t>＝</w:t>
      </w:r>
      <w:r>
        <w:rPr>
          <w:rFonts w:ascii="Times New Roman" w:hAnsi="Times New Roman"/>
          <w:szCs w:val="24"/>
          <w:highlight w:val="none"/>
        </w:rPr>
        <w:t>F</w:t>
      </w:r>
      <w:r>
        <w:rPr>
          <w:szCs w:val="21"/>
          <w:highlight w:val="none"/>
        </w:rPr>
        <w:t>－偏差率×100× E</w:t>
      </w:r>
      <w:r>
        <w:rPr>
          <w:szCs w:val="21"/>
          <w:highlight w:val="none"/>
          <w:vertAlign w:val="subscript"/>
        </w:rPr>
        <w:t>1</w:t>
      </w:r>
      <w:r>
        <w:rPr>
          <w:szCs w:val="21"/>
          <w:highlight w:val="none"/>
        </w:rPr>
        <w:t>；</w:t>
      </w:r>
    </w:p>
    <w:p>
      <w:pPr>
        <w:spacing w:line="400" w:lineRule="exact"/>
        <w:ind w:firstLine="420" w:firstLineChars="200"/>
        <w:rPr>
          <w:rFonts w:ascii="Times New Roman" w:hAnsi="Times New Roman"/>
          <w:szCs w:val="24"/>
          <w:highlight w:val="none"/>
        </w:rPr>
      </w:pPr>
      <w:r>
        <w:rPr>
          <w:rFonts w:ascii="Times New Roman" w:hAnsi="Times New Roman"/>
          <w:szCs w:val="24"/>
          <w:highlight w:val="none"/>
        </w:rPr>
        <w:t>② 如果供应商的评审价格≤评</w:t>
      </w:r>
      <w:r>
        <w:rPr>
          <w:rFonts w:hint="eastAsia" w:ascii="Times New Roman" w:hAnsi="Times New Roman"/>
          <w:szCs w:val="24"/>
          <w:highlight w:val="none"/>
        </w:rPr>
        <w:t>审</w:t>
      </w:r>
      <w:r>
        <w:rPr>
          <w:rFonts w:ascii="Times New Roman" w:hAnsi="Times New Roman"/>
          <w:szCs w:val="24"/>
          <w:highlight w:val="none"/>
        </w:rPr>
        <w:t>基准价，则</w:t>
      </w:r>
      <w:r>
        <w:rPr>
          <w:rFonts w:hint="eastAsia"/>
          <w:szCs w:val="21"/>
          <w:highlight w:val="none"/>
        </w:rPr>
        <w:t>报价</w:t>
      </w:r>
      <w:r>
        <w:rPr>
          <w:rFonts w:ascii="Times New Roman" w:hAnsi="Times New Roman"/>
          <w:szCs w:val="24"/>
          <w:highlight w:val="none"/>
        </w:rPr>
        <w:t>得分＝F＋偏差率× 100× E</w:t>
      </w:r>
      <w:r>
        <w:rPr>
          <w:rFonts w:ascii="Times New Roman" w:hAnsi="Times New Roman"/>
          <w:szCs w:val="24"/>
          <w:highlight w:val="none"/>
          <w:vertAlign w:val="subscript"/>
        </w:rPr>
        <w:t>2</w:t>
      </w:r>
      <w:r>
        <w:rPr>
          <w:rFonts w:ascii="Times New Roman" w:hAnsi="Times New Roman"/>
          <w:szCs w:val="24"/>
          <w:highlight w:val="none"/>
        </w:rPr>
        <w:t>。</w:t>
      </w:r>
    </w:p>
    <w:p>
      <w:pPr>
        <w:spacing w:line="400" w:lineRule="exact"/>
        <w:ind w:firstLine="420" w:firstLineChars="200"/>
        <w:rPr>
          <w:rFonts w:ascii="Times New Roman" w:hAnsi="Times New Roman"/>
          <w:highlight w:val="none"/>
        </w:rPr>
      </w:pPr>
      <w:r>
        <w:rPr>
          <w:rFonts w:ascii="Times New Roman" w:hAnsi="Times New Roman"/>
          <w:szCs w:val="24"/>
          <w:highlight w:val="none"/>
        </w:rPr>
        <w:t>其中F</w:t>
      </w:r>
      <w:r>
        <w:rPr>
          <w:rFonts w:hint="eastAsia" w:ascii="Times New Roman" w:hAnsi="Times New Roman"/>
          <w:szCs w:val="24"/>
          <w:highlight w:val="none"/>
        </w:rPr>
        <w:t>为本章第3. 1（3）项规定的</w:t>
      </w:r>
      <w:r>
        <w:rPr>
          <w:rFonts w:ascii="Times New Roman" w:hAnsi="Times New Roman"/>
          <w:szCs w:val="24"/>
          <w:highlight w:val="none"/>
        </w:rPr>
        <w:t>报价所占的分值；E</w:t>
      </w:r>
      <w:r>
        <w:rPr>
          <w:rFonts w:ascii="Times New Roman" w:hAnsi="Times New Roman"/>
          <w:szCs w:val="24"/>
          <w:highlight w:val="none"/>
          <w:vertAlign w:val="subscript"/>
        </w:rPr>
        <w:t>1</w:t>
      </w:r>
      <w:r>
        <w:rPr>
          <w:rFonts w:ascii="Times New Roman" w:hAnsi="Times New Roman"/>
          <w:szCs w:val="24"/>
          <w:highlight w:val="none"/>
        </w:rPr>
        <w:t>是评审价格每高于评审基准价一个百分点的扣分值、E</w:t>
      </w:r>
      <w:r>
        <w:rPr>
          <w:rFonts w:ascii="Times New Roman" w:hAnsi="Times New Roman"/>
          <w:szCs w:val="24"/>
          <w:highlight w:val="none"/>
          <w:vertAlign w:val="subscript"/>
        </w:rPr>
        <w:t>2</w:t>
      </w:r>
      <w:r>
        <w:rPr>
          <w:rFonts w:ascii="Times New Roman" w:hAnsi="Times New Roman"/>
          <w:szCs w:val="24"/>
          <w:highlight w:val="none"/>
        </w:rPr>
        <w:t>是评审价格每低于评审基准价一个百分点的扣分值，E</w:t>
      </w:r>
      <w:r>
        <w:rPr>
          <w:rFonts w:ascii="Times New Roman" w:hAnsi="Times New Roman"/>
          <w:szCs w:val="24"/>
          <w:highlight w:val="none"/>
          <w:vertAlign w:val="subscript"/>
        </w:rPr>
        <w:t>1</w:t>
      </w:r>
      <w:r>
        <w:rPr>
          <w:rFonts w:ascii="Times New Roman" w:hAnsi="Times New Roman"/>
          <w:szCs w:val="24"/>
          <w:highlight w:val="none"/>
        </w:rPr>
        <w:t>可大于</w:t>
      </w:r>
      <w:r>
        <w:rPr>
          <w:rFonts w:hint="eastAsia" w:ascii="Times New Roman" w:hAnsi="Times New Roman"/>
          <w:szCs w:val="24"/>
          <w:highlight w:val="none"/>
        </w:rPr>
        <w:t>或等于</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。E</w:t>
      </w:r>
      <w:r>
        <w:rPr>
          <w:rFonts w:ascii="Times New Roman" w:hAnsi="Times New Roman"/>
          <w:szCs w:val="24"/>
          <w:highlight w:val="none"/>
          <w:vertAlign w:val="subscript"/>
        </w:rPr>
        <w:t>1</w:t>
      </w:r>
      <w:r>
        <w:rPr>
          <w:rFonts w:ascii="Times New Roman" w:hAnsi="Times New Roman"/>
          <w:szCs w:val="24"/>
          <w:highlight w:val="none"/>
        </w:rPr>
        <w:t>、E</w:t>
      </w:r>
      <w:r>
        <w:rPr>
          <w:rFonts w:ascii="Times New Roman" w:hAnsi="Times New Roman"/>
          <w:szCs w:val="24"/>
          <w:highlight w:val="none"/>
          <w:vertAlign w:val="subscript"/>
        </w:rPr>
        <w:t>2</w:t>
      </w:r>
      <w:r>
        <w:rPr>
          <w:rFonts w:ascii="Times New Roman" w:hAnsi="Times New Roman"/>
          <w:szCs w:val="24"/>
          <w:highlight w:val="none"/>
        </w:rPr>
        <w:t>的</w:t>
      </w:r>
      <w:r>
        <w:rPr>
          <w:rFonts w:hint="eastAsia" w:ascii="Times New Roman" w:hAnsi="Times New Roman"/>
          <w:szCs w:val="24"/>
          <w:highlight w:val="none"/>
        </w:rPr>
        <w:t>取值</w:t>
      </w:r>
      <w:r>
        <w:rPr>
          <w:rFonts w:ascii="Times New Roman" w:hAnsi="Times New Roman"/>
          <w:szCs w:val="24"/>
          <w:highlight w:val="none"/>
        </w:rPr>
        <w:t>见</w:t>
      </w:r>
      <w:r>
        <w:rPr>
          <w:rFonts w:hint="eastAsia" w:ascii="Times New Roman" w:hAnsi="Times New Roman"/>
          <w:szCs w:val="24"/>
          <w:highlight w:val="none"/>
        </w:rPr>
        <w:t>评审</w:t>
      </w:r>
      <w:r>
        <w:rPr>
          <w:rFonts w:ascii="Times New Roman" w:hAnsi="Times New Roman"/>
          <w:szCs w:val="24"/>
          <w:highlight w:val="none"/>
        </w:rPr>
        <w:t>办法前附表。</w:t>
      </w:r>
    </w:p>
    <w:p>
      <w:pPr>
        <w:spacing w:line="400" w:lineRule="exact"/>
        <w:ind w:firstLine="420" w:firstLineChars="200"/>
        <w:jc w:val="left"/>
        <w:rPr>
          <w:highlight w:val="none"/>
        </w:rPr>
      </w:pPr>
      <w:r>
        <w:rPr>
          <w:rFonts w:ascii="Times New Roman" w:hAnsi="Times New Roman"/>
          <w:szCs w:val="24"/>
          <w:highlight w:val="none"/>
        </w:rPr>
        <w:t>方法二：</w:t>
      </w:r>
      <w:r>
        <w:rPr>
          <w:rFonts w:hint="eastAsia"/>
          <w:highlight w:val="none"/>
        </w:rPr>
        <w:t>报价得分=</w:t>
      </w:r>
      <w:r>
        <w:rPr>
          <w:rFonts w:hint="eastAsia"/>
          <w:color w:val="000000"/>
          <w:szCs w:val="24"/>
          <w:highlight w:val="none"/>
        </w:rPr>
        <w:t>（</w:t>
      </w:r>
      <w:r>
        <w:rPr>
          <w:rFonts w:hint="eastAsia"/>
          <w:highlight w:val="none"/>
        </w:rPr>
        <w:t>通过初步评审</w:t>
      </w:r>
      <w:r>
        <w:rPr>
          <w:highlight w:val="none"/>
        </w:rPr>
        <w:t>的所有</w:t>
      </w:r>
      <w:r>
        <w:rPr>
          <w:rFonts w:hint="eastAsia"/>
          <w:highlight w:val="none"/>
        </w:rPr>
        <w:t>供应商</w:t>
      </w:r>
      <w:r>
        <w:rPr>
          <w:highlight w:val="none"/>
        </w:rPr>
        <w:t>的最低</w:t>
      </w:r>
      <w:r>
        <w:rPr>
          <w:rFonts w:hint="eastAsia"/>
          <w:highlight w:val="none"/>
        </w:rPr>
        <w:t>评审价格</w:t>
      </w:r>
      <w:r>
        <w:rPr>
          <w:rFonts w:hint="eastAsia"/>
          <w:color w:val="000000"/>
          <w:szCs w:val="24"/>
          <w:highlight w:val="none"/>
        </w:rPr>
        <w:t>／</w:t>
      </w:r>
      <w:r>
        <w:rPr>
          <w:rFonts w:hint="eastAsia"/>
          <w:szCs w:val="24"/>
          <w:highlight w:val="none"/>
        </w:rPr>
        <w:t>供应商</w:t>
      </w:r>
      <w:r>
        <w:rPr>
          <w:rFonts w:hint="eastAsia"/>
          <w:color w:val="000000"/>
          <w:szCs w:val="24"/>
          <w:highlight w:val="none"/>
        </w:rPr>
        <w:t>评审价格）</w:t>
      </w:r>
      <w:r>
        <w:rPr>
          <w:rFonts w:hint="eastAsia"/>
          <w:highlight w:val="none"/>
        </w:rPr>
        <w:t>×</w:t>
      </w:r>
      <w:r>
        <w:rPr>
          <w:rFonts w:ascii="Times New Roman" w:hAnsi="Times New Roman"/>
          <w:szCs w:val="24"/>
          <w:highlight w:val="none"/>
        </w:rPr>
        <w:t>F</w:t>
      </w:r>
      <w:r>
        <w:rPr>
          <w:rFonts w:hint="eastAsia"/>
          <w:szCs w:val="21"/>
          <w:highlight w:val="none"/>
        </w:rPr>
        <w:t>，</w:t>
      </w:r>
      <w:r>
        <w:rPr>
          <w:rFonts w:ascii="Times New Roman" w:hAnsi="Times New Roman"/>
          <w:szCs w:val="24"/>
          <w:highlight w:val="none"/>
        </w:rPr>
        <w:t>F</w:t>
      </w:r>
      <w:r>
        <w:rPr>
          <w:rFonts w:hint="eastAsia"/>
          <w:szCs w:val="21"/>
          <w:highlight w:val="none"/>
        </w:rPr>
        <w:t>为</w:t>
      </w:r>
      <w:r>
        <w:rPr>
          <w:rFonts w:hint="eastAsia" w:ascii="Times New Roman" w:hAnsi="Times New Roman"/>
          <w:szCs w:val="24"/>
          <w:highlight w:val="none"/>
        </w:rPr>
        <w:t>本章第3. 1（3）项规定的</w:t>
      </w:r>
      <w:r>
        <w:rPr>
          <w:rFonts w:hint="eastAsia"/>
          <w:szCs w:val="24"/>
          <w:highlight w:val="none"/>
        </w:rPr>
        <w:t>报价所占的分值</w:t>
      </w:r>
      <w:r>
        <w:rPr>
          <w:rFonts w:hint="eastAsia"/>
          <w:highlight w:val="none"/>
        </w:rPr>
        <w:t>。</w:t>
      </w:r>
    </w:p>
    <w:p>
      <w:pPr>
        <w:spacing w:line="400" w:lineRule="exact"/>
        <w:ind w:firstLine="420" w:firstLineChars="200"/>
        <w:jc w:val="left"/>
        <w:rPr>
          <w:rFonts w:ascii="Times New Roman" w:hAnsi="Times New Roman"/>
          <w:highlight w:val="none"/>
        </w:rPr>
      </w:pPr>
      <w:r>
        <w:rPr>
          <w:rFonts w:ascii="Times New Roman" w:hAnsi="Times New Roman"/>
          <w:highlight w:val="none"/>
        </w:rPr>
        <w:t>方法</w:t>
      </w:r>
      <w:r>
        <w:rPr>
          <w:rFonts w:hint="eastAsia" w:ascii="Times New Roman" w:hAnsi="Times New Roman"/>
          <w:highlight w:val="none"/>
        </w:rPr>
        <w:t>三</w:t>
      </w:r>
      <w:r>
        <w:rPr>
          <w:rFonts w:ascii="Times New Roman" w:hAnsi="Times New Roman"/>
          <w:highlight w:val="none"/>
        </w:rPr>
        <w:t>：采购人确定的其他方法。</w:t>
      </w:r>
    </w:p>
    <w:p>
      <w:pPr>
        <w:spacing w:line="400" w:lineRule="exact"/>
        <w:ind w:firstLine="420" w:firstLineChars="200"/>
        <w:rPr>
          <w:highlight w:val="none"/>
        </w:rPr>
      </w:pPr>
      <w:r>
        <w:rPr>
          <w:rFonts w:hint="eastAsia"/>
          <w:highlight w:val="none"/>
        </w:rPr>
        <w:t>报价得分</w:t>
      </w:r>
      <w:r>
        <w:rPr>
          <w:highlight w:val="none"/>
        </w:rPr>
        <w:t>计算方法见评审办法前附表</w:t>
      </w:r>
      <w:r>
        <w:rPr>
          <w:rFonts w:hint="eastAsia"/>
          <w:highlight w:val="none"/>
        </w:rPr>
        <w:t>。</w:t>
      </w:r>
    </w:p>
    <w:p>
      <w:pPr>
        <w:spacing w:line="400" w:lineRule="exact"/>
        <w:ind w:firstLine="420" w:firstLineChars="200"/>
        <w:rPr>
          <w:rFonts w:hint="eastAsia" w:ascii="Times New Roman" w:hAnsi="Times New Roman"/>
          <w:highlight w:val="none"/>
        </w:rPr>
      </w:pPr>
      <w:r>
        <w:rPr>
          <w:rFonts w:ascii="Times New Roman" w:hAnsi="Times New Roman"/>
          <w:highlight w:val="none"/>
        </w:rPr>
        <w:t>（4）其他因素评分标准：见</w:t>
      </w:r>
      <w:r>
        <w:rPr>
          <w:rFonts w:hint="eastAsia" w:ascii="黑体" w:hAnsi="黑体" w:eastAsia="黑体" w:cs="黑体"/>
          <w:iCs/>
          <w:color w:val="000000"/>
          <w:highlight w:val="none"/>
        </w:rPr>
        <w:t>评审办法前附表</w:t>
      </w:r>
      <w:r>
        <w:rPr>
          <w:rFonts w:ascii="Times New Roman" w:hAnsi="Times New Roman"/>
          <w:highlight w:val="none"/>
        </w:rPr>
        <w:t>。</w:t>
      </w:r>
    </w:p>
    <w:p>
      <w:pPr>
        <w:pStyle w:val="2"/>
        <w:spacing w:line="240" w:lineRule="auto"/>
        <w:ind w:firstLine="137"/>
        <w:rPr>
          <w:rFonts w:ascii="Times New Roman" w:hAnsi="Times New Roman"/>
          <w:color w:val="000000"/>
          <w:highlight w:val="none"/>
        </w:rPr>
      </w:pPr>
      <w:bookmarkStart w:id="308" w:name="_Toc28253"/>
      <w:r>
        <w:rPr>
          <w:rFonts w:hint="eastAsia" w:ascii="Times New Roman" w:hAnsi="Times New Roman"/>
          <w:color w:val="000000"/>
          <w:highlight w:val="none"/>
        </w:rPr>
        <w:t>3.4评分</w:t>
      </w:r>
      <w:bookmarkEnd w:id="308"/>
    </w:p>
    <w:p>
      <w:pPr>
        <w:spacing w:line="400" w:lineRule="exact"/>
        <w:ind w:firstLine="420" w:firstLineChars="200"/>
        <w:rPr>
          <w:rFonts w:hint="eastAsia" w:ascii="Times New Roman" w:hAnsi="Times New Roman"/>
          <w:highlight w:val="none"/>
        </w:rPr>
      </w:pPr>
      <w:r>
        <w:rPr>
          <w:rFonts w:hint="eastAsia" w:ascii="Times New Roman" w:hAnsi="Times New Roman"/>
          <w:highlight w:val="none"/>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r>
        <w:rPr>
          <w:rFonts w:ascii="Times New Roman" w:hAnsi="Times New Roman"/>
          <w:highlight w:val="none"/>
        </w:rPr>
        <w:t>。</w:t>
      </w:r>
    </w:p>
    <w:p>
      <w:pPr>
        <w:pStyle w:val="2"/>
        <w:spacing w:line="240" w:lineRule="auto"/>
        <w:ind w:firstLine="137"/>
        <w:rPr>
          <w:rFonts w:ascii="Times New Roman" w:hAnsi="Times New Roman"/>
          <w:color w:val="000000"/>
          <w:highlight w:val="none"/>
        </w:rPr>
      </w:pPr>
      <w:bookmarkStart w:id="309" w:name="_Toc15650"/>
      <w:r>
        <w:rPr>
          <w:rFonts w:hint="eastAsia" w:ascii="Times New Roman" w:hAnsi="Times New Roman"/>
          <w:color w:val="000000"/>
          <w:highlight w:val="none"/>
        </w:rPr>
        <w:t>3.5汇总</w:t>
      </w:r>
      <w:bookmarkEnd w:id="309"/>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评审小组汇总每个成员对供应商的评分总分</w:t>
      </w:r>
      <w:r>
        <w:rPr>
          <w:rFonts w:hint="eastAsia" w:ascii="Times New Roman" w:hAnsi="Times New Roman"/>
          <w:highlight w:val="none"/>
        </w:rPr>
        <w:t>，</w:t>
      </w:r>
      <w:r>
        <w:rPr>
          <w:rFonts w:ascii="Times New Roman" w:hAnsi="Times New Roman"/>
          <w:highlight w:val="none"/>
        </w:rPr>
        <w:t>每个供应商的评分总分的算术平均值为供应商最终得分</w:t>
      </w:r>
      <w:r>
        <w:rPr>
          <w:rFonts w:hint="eastAsia" w:ascii="Times New Roman" w:hAnsi="Times New Roman"/>
          <w:highlight w:val="none"/>
        </w:rPr>
        <w:t>。</w:t>
      </w:r>
    </w:p>
    <w:p>
      <w:pPr>
        <w:pStyle w:val="2"/>
        <w:spacing w:line="240" w:lineRule="auto"/>
        <w:ind w:firstLine="137"/>
        <w:rPr>
          <w:rFonts w:ascii="Times New Roman" w:hAnsi="Times New Roman"/>
          <w:color w:val="000000"/>
          <w:highlight w:val="none"/>
        </w:rPr>
      </w:pPr>
      <w:bookmarkStart w:id="310" w:name="_Toc24660"/>
      <w:r>
        <w:rPr>
          <w:rFonts w:hint="eastAsia" w:ascii="Times New Roman" w:hAnsi="Times New Roman"/>
          <w:color w:val="000000"/>
          <w:highlight w:val="none"/>
        </w:rPr>
        <w:t>3.6排序</w:t>
      </w:r>
      <w:bookmarkEnd w:id="310"/>
    </w:p>
    <w:p>
      <w:pPr>
        <w:spacing w:line="400" w:lineRule="exact"/>
        <w:ind w:firstLine="420" w:firstLineChars="200"/>
        <w:rPr>
          <w:rFonts w:hint="eastAsia" w:ascii="Times New Roman" w:hAnsi="Times New Roman"/>
          <w:highlight w:val="none"/>
        </w:rPr>
      </w:pPr>
      <w:r>
        <w:rPr>
          <w:rFonts w:ascii="Times New Roman" w:hAnsi="Times New Roman"/>
          <w:highlight w:val="none"/>
        </w:rPr>
        <w:t>评审小组对供应商最终得分进行比较后</w:t>
      </w:r>
      <w:r>
        <w:rPr>
          <w:rFonts w:hint="eastAsia" w:ascii="Times New Roman" w:hAnsi="Times New Roman"/>
          <w:highlight w:val="none"/>
        </w:rPr>
        <w:t>，</w:t>
      </w:r>
      <w:r>
        <w:rPr>
          <w:rFonts w:ascii="Times New Roman" w:hAnsi="Times New Roman"/>
          <w:highlight w:val="none"/>
        </w:rPr>
        <w:t>可以按照供应商最终得分由高到低的顺序对供应商排序</w:t>
      </w:r>
      <w:r>
        <w:rPr>
          <w:rFonts w:hint="eastAsia" w:ascii="Times New Roman" w:hAnsi="Times New Roman"/>
          <w:highlight w:val="none"/>
        </w:rPr>
        <w:t>。</w:t>
      </w:r>
      <w:r>
        <w:rPr>
          <w:rFonts w:ascii="Times New Roman" w:hAnsi="Times New Roman"/>
          <w:highlight w:val="none"/>
        </w:rPr>
        <w:t>最终得分相等时</w:t>
      </w:r>
      <w:r>
        <w:rPr>
          <w:rFonts w:hint="eastAsia" w:ascii="Times New Roman" w:hAnsi="Times New Roman"/>
          <w:highlight w:val="none"/>
        </w:rPr>
        <w:t>，</w:t>
      </w:r>
      <w:r>
        <w:rPr>
          <w:rFonts w:ascii="Times New Roman" w:hAnsi="Times New Roman"/>
          <w:highlight w:val="none"/>
        </w:rPr>
        <w:t>以评审价格低的优先</w:t>
      </w:r>
      <w:r>
        <w:rPr>
          <w:rFonts w:hint="eastAsia" w:ascii="Times New Roman" w:hAnsi="Times New Roman"/>
          <w:highlight w:val="none"/>
        </w:rPr>
        <w:t>；</w:t>
      </w:r>
      <w:r>
        <w:rPr>
          <w:rFonts w:ascii="Times New Roman" w:hAnsi="Times New Roman"/>
          <w:highlight w:val="none"/>
        </w:rPr>
        <w:t>评审价格也相等的</w:t>
      </w:r>
      <w:r>
        <w:rPr>
          <w:rFonts w:hint="eastAsia" w:ascii="Times New Roman" w:hAnsi="Times New Roman"/>
          <w:highlight w:val="none"/>
        </w:rPr>
        <w:t>，</w:t>
      </w:r>
      <w:r>
        <w:rPr>
          <w:rFonts w:ascii="Times New Roman" w:hAnsi="Times New Roman"/>
          <w:highlight w:val="none"/>
        </w:rPr>
        <w:t>以技术得分高的优先</w:t>
      </w:r>
      <w:r>
        <w:rPr>
          <w:rFonts w:hint="eastAsia" w:ascii="Times New Roman" w:hAnsi="Times New Roman"/>
          <w:highlight w:val="none"/>
        </w:rPr>
        <w:t>；</w:t>
      </w:r>
      <w:r>
        <w:rPr>
          <w:rFonts w:ascii="Times New Roman" w:hAnsi="Times New Roman"/>
          <w:highlight w:val="none"/>
        </w:rPr>
        <w:t>如果技术得分也相等</w:t>
      </w:r>
      <w:r>
        <w:rPr>
          <w:rFonts w:hint="eastAsia" w:ascii="Times New Roman" w:hAnsi="Times New Roman"/>
          <w:highlight w:val="none"/>
        </w:rPr>
        <w:t>，</w:t>
      </w:r>
      <w:r>
        <w:rPr>
          <w:rFonts w:ascii="Times New Roman" w:hAnsi="Times New Roman"/>
          <w:highlight w:val="none"/>
        </w:rPr>
        <w:t>按照评审办法前附表的规定确定供应商优先顺序</w:t>
      </w:r>
      <w:r>
        <w:rPr>
          <w:rFonts w:hint="eastAsia" w:ascii="Times New Roman" w:hAnsi="Times New Roman"/>
          <w:highlight w:val="none"/>
        </w:rPr>
        <w:t>。</w:t>
      </w:r>
    </w:p>
    <w:p>
      <w:pPr>
        <w:pStyle w:val="2"/>
        <w:spacing w:line="240" w:lineRule="auto"/>
        <w:ind w:firstLine="137"/>
        <w:rPr>
          <w:rFonts w:ascii="Times New Roman" w:hAnsi="Times New Roman"/>
          <w:color w:val="000000"/>
          <w:highlight w:val="none"/>
        </w:rPr>
      </w:pPr>
      <w:bookmarkStart w:id="311" w:name="_Toc27883"/>
      <w:r>
        <w:rPr>
          <w:rFonts w:hint="eastAsia" w:ascii="Times New Roman" w:hAnsi="Times New Roman"/>
          <w:color w:val="000000"/>
          <w:highlight w:val="none"/>
        </w:rPr>
        <w:t>3.7特殊情形处理</w:t>
      </w:r>
      <w:bookmarkEnd w:id="311"/>
    </w:p>
    <w:p>
      <w:pPr>
        <w:spacing w:line="400" w:lineRule="exact"/>
        <w:ind w:firstLine="420" w:firstLineChars="200"/>
        <w:rPr>
          <w:rFonts w:ascii="Times New Roman" w:hAnsi="Times New Roman"/>
          <w:highlight w:val="none"/>
        </w:rPr>
      </w:pPr>
      <w:r>
        <w:rPr>
          <w:rFonts w:ascii="Times New Roman" w:hAnsi="Times New Roman"/>
          <w:highlight w:val="none"/>
        </w:rPr>
        <w:t>当通过初步评审的供应商数量未超过询比采购公告</w:t>
      </w:r>
      <w:r>
        <w:rPr>
          <w:rFonts w:hint="eastAsia" w:ascii="Times New Roman" w:hAnsi="Times New Roman"/>
          <w:highlight w:val="none"/>
        </w:rPr>
        <w:t>/询比采购邀请书第1.6款规定的成交供应商数量、评审小组认为供应商的响应价格合理且物有所值时，不再进行详细评审，直接推荐上述供应商为候选成交供应商。</w:t>
      </w:r>
    </w:p>
    <w:p>
      <w:pPr>
        <w:pStyle w:val="4"/>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302"/>
      <w:bookmarkEnd w:id="303"/>
    </w:p>
    <w:p>
      <w:pPr>
        <w:pStyle w:val="2"/>
        <w:spacing w:line="240" w:lineRule="auto"/>
        <w:ind w:firstLine="137"/>
        <w:rPr>
          <w:rFonts w:ascii="Times New Roman" w:hAnsi="Times New Roman"/>
          <w:color w:val="auto"/>
          <w:highlight w:val="none"/>
        </w:rPr>
      </w:pPr>
      <w:bookmarkStart w:id="312" w:name="_Toc21889"/>
      <w:r>
        <w:rPr>
          <w:rFonts w:hint="eastAsia" w:ascii="Times New Roman" w:hAnsi="Times New Roman"/>
          <w:color w:val="auto"/>
          <w:highlight w:val="none"/>
        </w:rPr>
        <w:t>4.1 提交书面评审报告</w:t>
      </w:r>
      <w:bookmarkEnd w:id="312"/>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评审小组</w:t>
      </w:r>
      <w:r>
        <w:rPr>
          <w:rFonts w:ascii="Times New Roman" w:hAnsi="Times New Roman"/>
          <w:color w:val="auto"/>
          <w:highlight w:val="none"/>
        </w:rPr>
        <w:t>完成</w:t>
      </w:r>
      <w:r>
        <w:rPr>
          <w:rFonts w:hint="eastAsia" w:ascii="Times New Roman" w:hAnsi="Times New Roman"/>
          <w:color w:val="auto"/>
          <w:highlight w:val="none"/>
        </w:rPr>
        <w:t>评审</w:t>
      </w:r>
      <w:r>
        <w:rPr>
          <w:rFonts w:ascii="Times New Roman" w:hAnsi="Times New Roman"/>
          <w:color w:val="auto"/>
          <w:highlight w:val="none"/>
        </w:rPr>
        <w:t>后，应当向</w:t>
      </w:r>
      <w:r>
        <w:rPr>
          <w:rFonts w:hint="eastAsia" w:ascii="Times New Roman" w:hAnsi="Times New Roman"/>
          <w:color w:val="auto"/>
          <w:highlight w:val="none"/>
        </w:rPr>
        <w:t>采购人提交</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p>
    <w:p>
      <w:pPr>
        <w:pStyle w:val="2"/>
        <w:spacing w:line="240" w:lineRule="auto"/>
        <w:ind w:firstLine="137"/>
        <w:rPr>
          <w:rFonts w:ascii="Times New Roman" w:hAnsi="Times New Roman"/>
          <w:color w:val="auto"/>
          <w:highlight w:val="none"/>
        </w:rPr>
      </w:pPr>
      <w:bookmarkStart w:id="313" w:name="_Toc26220"/>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推荐候选成交供应商排序要求及数量</w:t>
      </w:r>
      <w:bookmarkEnd w:id="313"/>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评审小组应在</w:t>
      </w:r>
      <w:r>
        <w:rPr>
          <w:rFonts w:ascii="Times New Roman" w:hAnsi="Times New Roman"/>
          <w:color w:val="auto"/>
          <w:highlight w:val="none"/>
        </w:rPr>
        <w:t>书面</w:t>
      </w:r>
      <w:r>
        <w:rPr>
          <w:rFonts w:hint="eastAsia" w:ascii="Times New Roman" w:hAnsi="Times New Roman"/>
          <w:color w:val="auto"/>
          <w:highlight w:val="none"/>
        </w:rPr>
        <w:t>评审</w:t>
      </w:r>
      <w:r>
        <w:rPr>
          <w:rFonts w:ascii="Times New Roman" w:hAnsi="Times New Roman"/>
          <w:color w:val="auto"/>
          <w:highlight w:val="none"/>
        </w:rPr>
        <w:t>报告</w:t>
      </w:r>
      <w:r>
        <w:rPr>
          <w:rFonts w:hint="eastAsia" w:ascii="Times New Roman" w:hAnsi="Times New Roman"/>
          <w:color w:val="auto"/>
          <w:highlight w:val="none"/>
        </w:rPr>
        <w:t>中</w:t>
      </w:r>
      <w:r>
        <w:rPr>
          <w:rFonts w:ascii="Times New Roman" w:hAnsi="Times New Roman"/>
          <w:color w:val="auto"/>
          <w:highlight w:val="none"/>
        </w:rPr>
        <w:t>按照</w:t>
      </w:r>
      <w:r>
        <w:rPr>
          <w:rFonts w:hint="eastAsia" w:ascii="Times New Roman" w:hAnsi="Times New Roman"/>
          <w:color w:val="auto"/>
          <w:highlight w:val="none"/>
        </w:rPr>
        <w:t>供应商排列</w:t>
      </w:r>
      <w:r>
        <w:rPr>
          <w:rFonts w:ascii="Times New Roman" w:hAnsi="Times New Roman"/>
          <w:color w:val="auto"/>
          <w:highlight w:val="none"/>
        </w:rPr>
        <w:t>的</w:t>
      </w:r>
      <w:r>
        <w:rPr>
          <w:rFonts w:hint="eastAsia" w:ascii="Times New Roman" w:hAnsi="Times New Roman"/>
          <w:color w:val="auto"/>
          <w:highlight w:val="none"/>
        </w:rPr>
        <w:t>优先</w:t>
      </w:r>
      <w:r>
        <w:rPr>
          <w:rFonts w:ascii="Times New Roman" w:hAnsi="Times New Roman"/>
          <w:color w:val="auto"/>
          <w:highlight w:val="none"/>
        </w:rPr>
        <w:t>顺序向</w:t>
      </w:r>
      <w:r>
        <w:rPr>
          <w:rFonts w:hint="eastAsia" w:ascii="Times New Roman" w:hAnsi="Times New Roman"/>
          <w:color w:val="auto"/>
          <w:highlight w:val="none"/>
        </w:rPr>
        <w:t>采购人</w:t>
      </w:r>
      <w:r>
        <w:rPr>
          <w:rFonts w:ascii="Times New Roman" w:hAnsi="Times New Roman"/>
          <w:color w:val="auto"/>
          <w:highlight w:val="none"/>
        </w:rPr>
        <w:t>推荐</w:t>
      </w:r>
      <w:r>
        <w:rPr>
          <w:rFonts w:hint="eastAsia" w:ascii="Times New Roman" w:hAnsi="Times New Roman"/>
          <w:color w:val="auto"/>
          <w:highlight w:val="none"/>
        </w:rPr>
        <w:t>候选成交供应商（排序或不排序）</w:t>
      </w:r>
      <w:r>
        <w:rPr>
          <w:rFonts w:ascii="Times New Roman" w:hAnsi="Times New Roman"/>
          <w:color w:val="auto"/>
          <w:highlight w:val="none"/>
        </w:rPr>
        <w:t>。</w:t>
      </w:r>
      <w:r>
        <w:rPr>
          <w:rFonts w:hint="eastAsia" w:ascii="Times New Roman" w:hAnsi="Times New Roman"/>
          <w:color w:val="auto"/>
          <w:highlight w:val="none"/>
        </w:rPr>
        <w:t>候选成交供应商的排序要求及数量见</w:t>
      </w:r>
      <w:r>
        <w:rPr>
          <w:rFonts w:hint="eastAsia" w:ascii="黑体" w:hAnsi="黑体" w:eastAsia="黑体" w:cs="黑体"/>
          <w:iCs/>
          <w:color w:val="auto"/>
          <w:highlight w:val="none"/>
        </w:rPr>
        <w:t>第二章“供应商须知”</w:t>
      </w:r>
      <w:r>
        <w:rPr>
          <w:rFonts w:hint="eastAsia" w:ascii="Times New Roman" w:hAnsi="Times New Roman"/>
          <w:color w:val="auto"/>
          <w:highlight w:val="none"/>
        </w:rPr>
        <w:t>。</w:t>
      </w:r>
    </w:p>
    <w:p>
      <w:pPr>
        <w:pStyle w:val="4"/>
        <w:rPr>
          <w:rFonts w:ascii="Times New Roman" w:hAnsi="Times New Roman"/>
          <w:color w:val="auto"/>
          <w:highlight w:val="none"/>
        </w:rPr>
      </w:pPr>
      <w:bookmarkStart w:id="314" w:name="_Toc1603"/>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直接转换采购方式评审程序</w:t>
      </w:r>
      <w:bookmarkEnd w:id="314"/>
    </w:p>
    <w:p>
      <w:pPr>
        <w:pStyle w:val="2"/>
        <w:spacing w:line="240" w:lineRule="auto"/>
        <w:ind w:firstLine="137"/>
        <w:rPr>
          <w:rFonts w:ascii="Times New Roman" w:hAnsi="Times New Roman"/>
          <w:color w:val="auto"/>
          <w:highlight w:val="none"/>
        </w:rPr>
      </w:pPr>
      <w:bookmarkStart w:id="315" w:name="_Toc7146"/>
      <w:r>
        <w:rPr>
          <w:rFonts w:hint="eastAsia" w:ascii="Times New Roman" w:hAnsi="Times New Roman"/>
          <w:color w:val="auto"/>
          <w:highlight w:val="none"/>
        </w:rPr>
        <w:t>5.1 初步评审</w:t>
      </w:r>
      <w:bookmarkEnd w:id="315"/>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.1</w:t>
      </w:r>
      <w:r>
        <w:rPr>
          <w:rFonts w:hint="eastAsia" w:ascii="Times New Roman" w:hAnsi="Times New Roman"/>
          <w:color w:val="auto"/>
          <w:highlight w:val="none"/>
        </w:rPr>
        <w:t xml:space="preserve">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3 只有形式评审和资格评审合格且实质性响应采购文件要求的供应商才可通过初步评审。经供应商澄清、说明和补正后仍未通过初步评审的响应文件将被视为无效，评审小组应告知有关供应商。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w:t>
      </w:r>
      <w:r>
        <w:rPr>
          <w:rFonts w:hint="eastAsia" w:ascii="Times New Roman" w:hAnsi="Times New Roman"/>
          <w:color w:val="auto"/>
          <w:highlight w:val="none"/>
        </w:rPr>
        <w:t>4 当通过初步评审的供应商数量大于询比采购公告/询比采购邀请书第1.6款规定的成交供应商数量时，可以改为参照谈判方式继续评审选择成交供应商。</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当通过初步评审的供应商数量等于询比采购公告/询比采购邀请书第1.6款规定的成交供应商数量时，可以改为参照直接采购方式继续评审选择成交供应商。</w:t>
      </w:r>
    </w:p>
    <w:bookmarkEnd w:id="304"/>
    <w:p>
      <w:pPr>
        <w:spacing w:line="400" w:lineRule="exact"/>
        <w:ind w:firstLine="420" w:firstLineChars="200"/>
        <w:rPr>
          <w:rFonts w:hint="eastAsia" w:ascii="Times New Roman" w:hAnsi="Times New Roman"/>
          <w:color w:val="auto"/>
          <w:highlight w:val="none"/>
        </w:rPr>
      </w:pPr>
      <w:bookmarkStart w:id="316" w:name="_Toc501460733"/>
      <w:r>
        <w:rPr>
          <w:rFonts w:hint="eastAsia" w:ascii="Times New Roman" w:hAnsi="Times New Roman"/>
          <w:color w:val="auto"/>
          <w:highlight w:val="none"/>
        </w:rPr>
        <w:t>当询比采购公告/询比采购邀请书第1.6款选择多家成交供应商时，通过初步评审的供应商数量小于约定成交供应商数量且大于等于一家的，可以改为参照直接采购方式继续评审选择一部分成交供应商，或者终止全部采购，重新组织采购选择选择全部成交供应商。</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初步评审后</w:t>
      </w:r>
      <w:r>
        <w:rPr>
          <w:rFonts w:hint="eastAsia" w:ascii="Times New Roman" w:hAnsi="Times New Roman"/>
          <w:color w:val="auto"/>
          <w:highlight w:val="none"/>
        </w:rPr>
        <w:t>，</w:t>
      </w:r>
      <w:r>
        <w:rPr>
          <w:rFonts w:ascii="Times New Roman" w:hAnsi="Times New Roman"/>
          <w:color w:val="auto"/>
          <w:highlight w:val="none"/>
        </w:rPr>
        <w:t>当所有响应文件均无效时</w:t>
      </w:r>
      <w:r>
        <w:rPr>
          <w:rFonts w:hint="eastAsia" w:ascii="Times New Roman" w:hAnsi="Times New Roman"/>
          <w:color w:val="auto"/>
          <w:highlight w:val="none"/>
        </w:rPr>
        <w:t>，</w:t>
      </w:r>
      <w:r>
        <w:rPr>
          <w:rFonts w:ascii="Times New Roman" w:hAnsi="Times New Roman"/>
          <w:color w:val="auto"/>
          <w:highlight w:val="none"/>
        </w:rPr>
        <w:t>应重新组织采购</w:t>
      </w:r>
      <w:r>
        <w:rPr>
          <w:rFonts w:hint="eastAsia" w:ascii="Times New Roman" w:hAnsi="Times New Roman"/>
          <w:color w:val="auto"/>
          <w:highlight w:val="none"/>
        </w:rPr>
        <w:t>。</w:t>
      </w:r>
    </w:p>
    <w:p>
      <w:pPr>
        <w:pStyle w:val="2"/>
        <w:spacing w:line="240" w:lineRule="auto"/>
        <w:ind w:firstLine="137"/>
        <w:rPr>
          <w:rFonts w:ascii="Times New Roman" w:hAnsi="Times New Roman"/>
          <w:color w:val="auto"/>
          <w:highlight w:val="none"/>
        </w:rPr>
      </w:pPr>
      <w:bookmarkStart w:id="317" w:name="_Toc29857"/>
      <w:r>
        <w:rPr>
          <w:rFonts w:hint="eastAsia" w:ascii="Times New Roman" w:hAnsi="Times New Roman"/>
          <w:color w:val="auto"/>
          <w:highlight w:val="none"/>
        </w:rPr>
        <w:t>5.2 转换采购方式</w:t>
      </w:r>
      <w:bookmarkEnd w:id="317"/>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参照谈判采购方式评审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2）供应商的法定代表人（单位负责人）或其授权的代理人应按照</w:t>
      </w:r>
      <w:r>
        <w:rPr>
          <w:rFonts w:hint="eastAsia" w:ascii="Times New Roman" w:hAnsi="Times New Roman"/>
          <w:color w:val="auto"/>
          <w:highlight w:val="none"/>
          <w:lang w:val="en-US" w:eastAsia="zh-CN"/>
        </w:rPr>
        <w:t>评审</w:t>
      </w:r>
      <w:r>
        <w:rPr>
          <w:rFonts w:hint="eastAsia" w:ascii="Times New Roman" w:hAnsi="Times New Roman"/>
          <w:color w:val="auto"/>
          <w:highlight w:val="none"/>
        </w:rPr>
        <w:t>小组通知的时间和地点参加谈判。供应商的法定代表人（单位负责人）或其授权的代理人在谈判中作出的承诺构成响应文件的组成部分。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（2）公开开启最终报价。</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评审小组将在递交最终报价的截止时间公开开启最终报价</w:t>
      </w:r>
      <w:r>
        <w:rPr>
          <w:rFonts w:hint="eastAsia" w:ascii="Times New Roman" w:hAnsi="Times New Roman"/>
          <w:color w:val="auto"/>
          <w:highlight w:val="none"/>
        </w:rPr>
        <w:t>，</w:t>
      </w:r>
      <w:r>
        <w:rPr>
          <w:rFonts w:ascii="Times New Roman" w:hAnsi="Times New Roman"/>
          <w:color w:val="auto"/>
          <w:highlight w:val="none"/>
        </w:rPr>
        <w:t>供应商未派代表参加开启会议的</w:t>
      </w:r>
      <w:r>
        <w:rPr>
          <w:rFonts w:hint="eastAsia" w:ascii="Times New Roman" w:hAnsi="Times New Roman"/>
          <w:color w:val="auto"/>
          <w:highlight w:val="none"/>
        </w:rPr>
        <w:t>，</w:t>
      </w:r>
      <w:r>
        <w:rPr>
          <w:rFonts w:ascii="Times New Roman" w:hAnsi="Times New Roman"/>
          <w:color w:val="auto"/>
          <w:highlight w:val="none"/>
        </w:rPr>
        <w:t>视为默认开启结果</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评审小组将按本章第</w:t>
      </w:r>
      <w:r>
        <w:rPr>
          <w:rFonts w:hint="eastAsia" w:ascii="Times New Roman" w:hAnsi="Times New Roman"/>
          <w:color w:val="auto"/>
          <w:highlight w:val="none"/>
        </w:rPr>
        <w:t>3条规定对响应文件及其最终报价进行详细评审。采用综合评分法的，评审小组有权对本章第3.2款规定的评审基准价和第3.3（3）项规定的报价评分标准进行调整，但评审小组应在谈判开始前向供应商公布，未公布的，视为评审基准价和报价评分标准不作调整；详细评审标准中除报价评审标准外的其他评审标准不作调整。</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通过谈判后</w:t>
      </w:r>
      <w:r>
        <w:rPr>
          <w:rFonts w:hint="eastAsia" w:ascii="Times New Roman" w:hAnsi="Times New Roman"/>
          <w:color w:val="auto"/>
          <w:highlight w:val="none"/>
        </w:rPr>
        <w:t>，</w:t>
      </w:r>
      <w:r>
        <w:rPr>
          <w:rFonts w:ascii="Times New Roman" w:hAnsi="Times New Roman"/>
          <w:color w:val="auto"/>
          <w:highlight w:val="none"/>
        </w:rPr>
        <w:t>评审小组认为所有供应商的最终报价仍然不合理的</w:t>
      </w:r>
      <w:r>
        <w:rPr>
          <w:rFonts w:hint="eastAsia" w:ascii="Times New Roman" w:hAnsi="Times New Roman"/>
          <w:color w:val="auto"/>
          <w:highlight w:val="none"/>
        </w:rPr>
        <w:t>，</w:t>
      </w:r>
      <w:r>
        <w:rPr>
          <w:rFonts w:ascii="Times New Roman" w:hAnsi="Times New Roman"/>
          <w:color w:val="auto"/>
          <w:highlight w:val="none"/>
        </w:rPr>
        <w:t>应向采购人提出终止采购建议</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（4）编写评审报告。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评审小组按本章第</w:t>
      </w:r>
      <w:r>
        <w:rPr>
          <w:rFonts w:hint="eastAsia" w:ascii="Times New Roman" w:hAnsi="Times New Roman"/>
          <w:color w:val="auto"/>
          <w:highlight w:val="none"/>
        </w:rPr>
        <w:t>4.2款规定推荐候选成交供应商或按本章第5.2.1（3）项规定提出终止采购建议，并向采购人提交书面评审报告。</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参照直接采购方式评审</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（1）谈判.</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评审小组所有成员集中与供应商进行谈判</w:t>
      </w:r>
      <w:r>
        <w:rPr>
          <w:rFonts w:hint="eastAsia" w:ascii="Times New Roman" w:hAnsi="Times New Roman"/>
          <w:color w:val="auto"/>
          <w:highlight w:val="none"/>
        </w:rPr>
        <w:t>，供应商的法定代表人（单位负责人）或其授权的代理人应参加谈判。在谈判过程中，评审小组可根据谈判情况修改和补充采购文件的非实质性内容，但不得改变可能影响初步评审结果的内容。供应商的法定代表人（单位负责人）或其授权的代理人在谈判中作出的承诺构成响应文件的组成部分。评审小组可根据需要，安排多轮谈判。</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（2）详细评审。</w:t>
      </w:r>
    </w:p>
    <w:p>
      <w:pPr>
        <w:spacing w:line="400" w:lineRule="exact"/>
        <w:ind w:firstLine="420" w:firstLineChars="200"/>
        <w:rPr>
          <w:rFonts w:hint="eastAsia" w:ascii="Times New Roman" w:hAnsi="Times New Roman"/>
          <w:color w:val="auto"/>
          <w:highlight w:val="none"/>
        </w:rPr>
      </w:pPr>
      <w:r>
        <w:rPr>
          <w:rFonts w:ascii="Times New Roman" w:hAnsi="Times New Roman"/>
          <w:color w:val="auto"/>
          <w:highlight w:val="none"/>
        </w:rPr>
        <w:t>评审小组通过对采购成本</w:t>
      </w:r>
      <w:r>
        <w:rPr>
          <w:rFonts w:hint="eastAsia" w:ascii="Times New Roman" w:hAnsi="Times New Roman"/>
          <w:color w:val="auto"/>
          <w:highlight w:val="none"/>
        </w:rPr>
        <w:t>、</w:t>
      </w:r>
      <w:r>
        <w:rPr>
          <w:rFonts w:ascii="Times New Roman" w:hAnsi="Times New Roman"/>
          <w:color w:val="auto"/>
          <w:highlight w:val="none"/>
        </w:rPr>
        <w:t>供应能力</w:t>
      </w:r>
      <w:r>
        <w:rPr>
          <w:rFonts w:hint="eastAsia" w:ascii="Times New Roman" w:hAnsi="Times New Roman"/>
          <w:color w:val="auto"/>
          <w:highlight w:val="none"/>
        </w:rPr>
        <w:t>、</w:t>
      </w:r>
      <w:r>
        <w:rPr>
          <w:rFonts w:ascii="Times New Roman" w:hAnsi="Times New Roman"/>
          <w:color w:val="auto"/>
          <w:highlight w:val="none"/>
        </w:rPr>
        <w:t>风险管控</w:t>
      </w:r>
      <w:r>
        <w:rPr>
          <w:rFonts w:hint="eastAsia" w:ascii="Times New Roman" w:hAnsi="Times New Roman"/>
          <w:color w:val="auto"/>
          <w:highlight w:val="none"/>
        </w:rPr>
        <w:t>、</w:t>
      </w:r>
      <w:r>
        <w:rPr>
          <w:rFonts w:ascii="Times New Roman" w:hAnsi="Times New Roman"/>
          <w:color w:val="auto"/>
          <w:highlight w:val="none"/>
        </w:rPr>
        <w:t>采购目标等的分析</w:t>
      </w:r>
      <w:r>
        <w:rPr>
          <w:rFonts w:hint="eastAsia" w:ascii="Times New Roman" w:hAnsi="Times New Roman"/>
          <w:color w:val="auto"/>
          <w:highlight w:val="none"/>
        </w:rPr>
        <w:t>，</w:t>
      </w:r>
      <w:r>
        <w:rPr>
          <w:rFonts w:ascii="Times New Roman" w:hAnsi="Times New Roman"/>
          <w:color w:val="auto"/>
          <w:highlight w:val="none"/>
        </w:rPr>
        <w:t>对供应商拟提供标的的技术</w:t>
      </w:r>
      <w:r>
        <w:rPr>
          <w:rFonts w:hint="eastAsia" w:ascii="Times New Roman" w:hAnsi="Times New Roman"/>
          <w:color w:val="auto"/>
          <w:highlight w:val="none"/>
        </w:rPr>
        <w:t>、</w:t>
      </w:r>
      <w:r>
        <w:rPr>
          <w:rFonts w:ascii="Times New Roman" w:hAnsi="Times New Roman"/>
          <w:color w:val="auto"/>
          <w:highlight w:val="none"/>
        </w:rPr>
        <w:t>商务进行物有所值综合评价</w:t>
      </w:r>
      <w:r>
        <w:rPr>
          <w:rFonts w:hint="eastAsia" w:ascii="Times New Roman" w:hAnsi="Times New Roman"/>
          <w:color w:val="auto"/>
          <w:highlight w:val="none"/>
        </w:rPr>
        <w:t>。</w:t>
      </w:r>
    </w:p>
    <w:p>
      <w:pPr>
        <w:spacing w:line="4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（3）编写评审报告。</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评审小组根据预期的谈判目标综合谈判纪要编写评审报告</w:t>
      </w:r>
      <w:r>
        <w:rPr>
          <w:rFonts w:hint="eastAsia" w:ascii="Times New Roman" w:hAnsi="Times New Roman"/>
          <w:color w:val="auto"/>
          <w:highlight w:val="none"/>
        </w:rPr>
        <w:t>，</w:t>
      </w:r>
      <w:r>
        <w:rPr>
          <w:rFonts w:ascii="Times New Roman" w:hAnsi="Times New Roman"/>
          <w:color w:val="auto"/>
          <w:highlight w:val="none"/>
        </w:rPr>
        <w:t>推荐候选成交供应商或提出谈判终止建议</w:t>
      </w:r>
      <w:r>
        <w:rPr>
          <w:rFonts w:hint="eastAsia" w:ascii="Times New Roman" w:hAnsi="Times New Roman"/>
          <w:color w:val="auto"/>
          <w:highlight w:val="none"/>
        </w:rPr>
        <w:t>。</w:t>
      </w:r>
    </w:p>
    <w:p>
      <w:pPr>
        <w:rPr>
          <w:color w:val="auto"/>
          <w:highlight w:val="none"/>
        </w:rPr>
      </w:pPr>
      <w:r>
        <w:rPr>
          <w:color w:val="auto"/>
          <w:highlight w:val="none"/>
        </w:rPr>
        <w:br w:type="page"/>
      </w:r>
    </w:p>
    <w:p>
      <w:pPr>
        <w:pStyle w:val="3"/>
        <w:numPr>
          <w:ilvl w:val="0"/>
          <w:numId w:val="2"/>
        </w:numPr>
        <w:jc w:val="center"/>
        <w:rPr>
          <w:rFonts w:hint="eastAsia"/>
          <w:color w:val="auto"/>
          <w:highlight w:val="none"/>
        </w:rPr>
      </w:pPr>
      <w:bookmarkStart w:id="318" w:name="_Toc29164"/>
      <w:r>
        <w:rPr>
          <w:rFonts w:hint="eastAsia"/>
          <w:color w:val="auto"/>
          <w:highlight w:val="none"/>
        </w:rPr>
        <w:t xml:space="preserve"> </w:t>
      </w:r>
      <w:r>
        <w:rPr>
          <w:color w:val="auto"/>
          <w:highlight w:val="none"/>
        </w:rPr>
        <w:t>合同</w:t>
      </w:r>
      <w:bookmarkEnd w:id="316"/>
      <w:r>
        <w:rPr>
          <w:rFonts w:hint="eastAsia"/>
          <w:color w:val="auto"/>
          <w:highlight w:val="none"/>
        </w:rPr>
        <w:t>条款及格式</w:t>
      </w:r>
      <w:bookmarkEnd w:id="318"/>
    </w:p>
    <w:p>
      <w:pPr>
        <w:ind w:firstLine="1928" w:firstLineChars="600"/>
        <w:jc w:val="both"/>
        <w:rPr>
          <w:rFonts w:hint="eastAsia"/>
        </w:rPr>
      </w:pPr>
      <w:bookmarkStart w:id="319" w:name="_Toc246996319"/>
      <w:bookmarkEnd w:id="319"/>
      <w:bookmarkStart w:id="320" w:name="_Toc369531676"/>
      <w:bookmarkEnd w:id="320"/>
      <w:bookmarkStart w:id="321" w:name="_Toc247085834"/>
      <w:bookmarkEnd w:id="321"/>
      <w:bookmarkStart w:id="322" w:name="_Toc246997062"/>
      <w:bookmarkEnd w:id="322"/>
      <w:bookmarkStart w:id="323" w:name="_Toc9766"/>
      <w:bookmarkEnd w:id="323"/>
      <w:bookmarkStart w:id="324" w:name="_Toc29298"/>
      <w:bookmarkEnd w:id="324"/>
      <w:bookmarkStart w:id="325" w:name="_Toc296602565"/>
      <w:bookmarkEnd w:id="325"/>
      <w:bookmarkStart w:id="326" w:name="_Toc369531675"/>
      <w:bookmarkEnd w:id="326"/>
      <w:bookmarkStart w:id="327" w:name="_Toc184635117"/>
      <w:bookmarkEnd w:id="327"/>
      <w:bookmarkStart w:id="328" w:name="_Toc153397841"/>
      <w:bookmarkStart w:id="414" w:name="_GoBack"/>
      <w:bookmarkEnd w:id="414"/>
      <w:r>
        <w:rPr>
          <w:rFonts w:hint="eastAsia" w:ascii="宋体" w:hAnsi="宋体"/>
          <w:b/>
          <w:color w:val="FF0000"/>
          <w:sz w:val="32"/>
          <w:szCs w:val="32"/>
          <w:lang w:eastAsia="zh-CN"/>
        </w:rPr>
        <w:t>郎溪县中医院医疗设备</w:t>
      </w:r>
      <w:r>
        <w:rPr>
          <w:rFonts w:hint="eastAsia" w:ascii="宋体" w:hAnsi="宋体"/>
          <w:b/>
          <w:color w:val="FF0000"/>
          <w:sz w:val="32"/>
          <w:szCs w:val="32"/>
        </w:rPr>
        <w:t>采购合同</w:t>
      </w:r>
    </w:p>
    <w:p>
      <w:pPr>
        <w:jc w:val="left"/>
        <w:rPr>
          <w:rFonts w:ascii="Arial" w:hAnsi="Arial"/>
          <w:color w:val="000000"/>
          <w:sz w:val="24"/>
          <w:szCs w:val="24"/>
        </w:rPr>
      </w:pPr>
      <w:r>
        <w:rPr>
          <w:rFonts w:hint="eastAsia" w:ascii="宋体" w:hAnsi="宋体"/>
          <w:color w:val="000000"/>
          <w:sz w:val="24"/>
          <w:szCs w:val="24"/>
        </w:rPr>
        <w:t>项目编号：</w:t>
      </w:r>
      <w:r>
        <w:rPr>
          <w:rFonts w:hint="eastAsia" w:ascii="宋体" w:hAnsi="宋体"/>
          <w:color w:val="000000"/>
          <w:sz w:val="24"/>
        </w:rPr>
        <w:t xml:space="preserve">                                             </w:t>
      </w:r>
    </w:p>
    <w:p>
      <w:pPr>
        <w:spacing w:line="360" w:lineRule="auto"/>
        <w:rPr>
          <w:rFonts w:hint="eastAsia" w:ascii="宋体" w:hAnsi="宋体"/>
          <w:color w:val="000000"/>
          <w:sz w:val="24"/>
          <w:lang w:val="en-US" w:eastAsia="zh-CN"/>
        </w:rPr>
      </w:pPr>
      <w:r>
        <w:rPr>
          <w:rFonts w:hint="eastAsia" w:ascii="宋体" w:hAnsi="宋体"/>
          <w:color w:val="000000"/>
          <w:sz w:val="24"/>
          <w:lang w:eastAsia="zh-CN"/>
        </w:rPr>
        <w:t>甲</w:t>
      </w:r>
      <w:r>
        <w:rPr>
          <w:rFonts w:hint="eastAsia" w:ascii="宋体" w:hAnsi="宋体"/>
          <w:color w:val="000000"/>
          <w:sz w:val="24"/>
        </w:rPr>
        <w:t xml:space="preserve">  方：</w:t>
      </w:r>
      <w:r>
        <w:rPr>
          <w:rFonts w:hint="eastAsia" w:ascii="宋体" w:hAnsi="宋体"/>
          <w:color w:val="000000"/>
          <w:sz w:val="24"/>
          <w:lang w:val="en-US" w:eastAsia="zh-CN"/>
        </w:rPr>
        <w:t xml:space="preserve">  郎溪县中医院              </w:t>
      </w:r>
      <w:r>
        <w:rPr>
          <w:rFonts w:hint="eastAsia" w:ascii="宋体" w:hAnsi="宋体"/>
          <w:color w:val="000000"/>
          <w:sz w:val="24"/>
        </w:rPr>
        <w:t xml:space="preserve"> 电话：</w:t>
      </w:r>
      <w:r>
        <w:rPr>
          <w:rFonts w:hint="eastAsia" w:ascii="宋体" w:hAnsi="宋体"/>
          <w:color w:val="000000"/>
          <w:sz w:val="24"/>
          <w:lang w:val="en-US" w:eastAsia="zh-CN"/>
        </w:rPr>
        <w:t xml:space="preserve"> 0563-7021099</w:t>
      </w: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乙</w:t>
      </w:r>
      <w:r>
        <w:rPr>
          <w:rFonts w:hint="eastAsia" w:ascii="宋体" w:hAnsi="宋体"/>
          <w:color w:val="000000"/>
          <w:sz w:val="24"/>
        </w:rPr>
        <w:t xml:space="preserve">  方：</w:t>
      </w:r>
      <w:r>
        <w:rPr>
          <w:rFonts w:hint="eastAsia" w:ascii="宋体" w:hAnsi="宋体"/>
          <w:color w:val="000000"/>
          <w:sz w:val="24"/>
          <w:lang w:val="en-US" w:eastAsia="zh-CN"/>
        </w:rPr>
        <w:t xml:space="preserve">              </w:t>
      </w:r>
      <w:r>
        <w:rPr>
          <w:rFonts w:hint="eastAsia" w:ascii="宋体" w:hAnsi="宋体"/>
          <w:color w:val="000000"/>
          <w:sz w:val="24"/>
        </w:rPr>
        <w:t xml:space="preserve">               电话：</w:t>
      </w:r>
      <w:r>
        <w:rPr>
          <w:rFonts w:hint="eastAsia" w:ascii="宋体" w:hAnsi="宋体"/>
          <w:color w:val="000000"/>
          <w:sz w:val="24"/>
          <w:lang w:val="en-US" w:eastAsia="zh-CN"/>
        </w:rPr>
        <w:t xml:space="preserve"> </w:t>
      </w:r>
    </w:p>
    <w:p>
      <w:pPr>
        <w:widowControl/>
        <w:spacing w:line="360" w:lineRule="auto"/>
        <w:ind w:firstLine="480" w:firstLineChars="200"/>
        <w:jc w:val="left"/>
        <w:rPr>
          <w:rFonts w:hint="eastAsia" w:ascii="宋体" w:hAnsi="宋体"/>
          <w:color w:val="000000"/>
          <w:sz w:val="24"/>
        </w:rPr>
      </w:pPr>
      <w:r>
        <w:rPr>
          <w:rFonts w:hint="eastAsia" w:ascii="宋体" w:hAnsi="宋体"/>
          <w:color w:val="000000"/>
          <w:sz w:val="24"/>
          <w:lang w:eastAsia="zh-CN"/>
        </w:rPr>
        <w:t>甲</w:t>
      </w:r>
      <w:r>
        <w:rPr>
          <w:rFonts w:hint="eastAsia" w:ascii="宋体" w:hAnsi="宋体"/>
          <w:color w:val="000000"/>
          <w:sz w:val="24"/>
        </w:rPr>
        <w:t>方通过公开招标方式采购活动，经评标委员会的评审，决定将本项目采购合同授予</w:t>
      </w:r>
      <w:r>
        <w:rPr>
          <w:rFonts w:hint="eastAsia" w:ascii="宋体" w:hAnsi="宋体"/>
          <w:color w:val="000000"/>
          <w:sz w:val="24"/>
          <w:lang w:eastAsia="zh-CN"/>
        </w:rPr>
        <w:t>乙</w:t>
      </w:r>
      <w:r>
        <w:rPr>
          <w:rFonts w:hint="eastAsia" w:ascii="宋体" w:hAnsi="宋体"/>
          <w:color w:val="000000"/>
          <w:sz w:val="24"/>
        </w:rPr>
        <w:t>方。为进一步明确双方的责任，确保合同的顺利履行，</w:t>
      </w:r>
      <w:r>
        <w:rPr>
          <w:rFonts w:ascii="宋体" w:hAnsi="宋体"/>
          <w:color w:val="000000"/>
          <w:sz w:val="24"/>
        </w:rPr>
        <w:t>根据《中华人民共和国</w:t>
      </w:r>
      <w:r>
        <w:rPr>
          <w:rFonts w:hint="eastAsia" w:ascii="宋体" w:hAnsi="宋体"/>
          <w:color w:val="000000"/>
          <w:sz w:val="24"/>
        </w:rPr>
        <w:t>政府采购</w:t>
      </w:r>
      <w:r>
        <w:rPr>
          <w:rFonts w:ascii="宋体" w:hAnsi="宋体"/>
          <w:color w:val="000000"/>
          <w:sz w:val="24"/>
        </w:rPr>
        <w:t>法》</w:t>
      </w:r>
      <w:r>
        <w:rPr>
          <w:rFonts w:hint="eastAsia" w:ascii="宋体" w:hAnsi="宋体"/>
          <w:color w:val="000000"/>
          <w:sz w:val="24"/>
        </w:rPr>
        <w:t>、</w:t>
      </w:r>
      <w:r>
        <w:rPr>
          <w:rFonts w:ascii="宋体" w:hAnsi="宋体"/>
          <w:color w:val="000000"/>
          <w:sz w:val="24"/>
        </w:rPr>
        <w:t>《中华人民共和国</w:t>
      </w:r>
      <w:r>
        <w:rPr>
          <w:rFonts w:hint="eastAsia" w:ascii="宋体" w:hAnsi="宋体"/>
          <w:color w:val="000000"/>
          <w:sz w:val="24"/>
        </w:rPr>
        <w:t>民法典</w:t>
      </w:r>
      <w:r>
        <w:rPr>
          <w:rFonts w:ascii="宋体" w:hAnsi="宋体"/>
          <w:color w:val="000000"/>
          <w:sz w:val="24"/>
        </w:rPr>
        <w:t>》及有关法律规定，遵循平等、自愿、公平和诚实信用的原则，</w:t>
      </w:r>
      <w:r>
        <w:rPr>
          <w:rFonts w:hint="eastAsia" w:ascii="宋体" w:hAnsi="宋体" w:cs="宋体"/>
          <w:color w:val="000000"/>
          <w:kern w:val="0"/>
          <w:sz w:val="24"/>
        </w:rPr>
        <w:t>甲、乙双方同意签订本合同</w:t>
      </w:r>
      <w:r>
        <w:rPr>
          <w:rFonts w:hint="eastAsia" w:ascii="宋体" w:hAnsi="宋体" w:cs="宋体"/>
          <w:color w:val="000000"/>
          <w:kern w:val="0"/>
          <w:sz w:val="24"/>
          <w:lang w:val="en-US" w:eastAsia="zh-CN"/>
        </w:rPr>
        <w:t>.</w:t>
      </w:r>
      <w:r>
        <w:rPr>
          <w:rFonts w:hint="eastAsia" w:ascii="宋体" w:hAnsi="宋体"/>
          <w:color w:val="000000"/>
          <w:sz w:val="24"/>
        </w:rPr>
        <w:t>双方</w:t>
      </w:r>
      <w:r>
        <w:rPr>
          <w:rFonts w:ascii="宋体" w:hAnsi="宋体"/>
          <w:color w:val="000000"/>
          <w:sz w:val="24"/>
        </w:rPr>
        <w:t>协商一致</w:t>
      </w:r>
      <w:r>
        <w:rPr>
          <w:rFonts w:hint="eastAsia" w:ascii="宋体" w:hAnsi="宋体"/>
          <w:color w:val="000000"/>
          <w:sz w:val="24"/>
        </w:rPr>
        <w:t>同意按如下条款签订本合同：</w:t>
      </w:r>
    </w:p>
    <w:p>
      <w:pPr>
        <w:spacing w:line="360" w:lineRule="auto"/>
        <w:rPr>
          <w:rFonts w:hint="eastAsia" w:ascii="宋体" w:hAnsi="宋体"/>
          <w:b/>
          <w:bCs/>
          <w:color w:val="000000"/>
          <w:sz w:val="24"/>
        </w:rPr>
      </w:pPr>
      <w:r>
        <w:rPr>
          <w:rFonts w:hint="eastAsia" w:ascii="宋体" w:hAnsi="宋体"/>
          <w:b/>
          <w:bCs/>
          <w:color w:val="000000"/>
          <w:sz w:val="24"/>
        </w:rPr>
        <w:t xml:space="preserve">一、货物的名称、规格型号、数量和价格（若产品过多则见附表，如有附表则必须加盖公章）  </w:t>
      </w:r>
    </w:p>
    <w:p>
      <w:pPr>
        <w:spacing w:line="360" w:lineRule="auto"/>
        <w:jc w:val="right"/>
        <w:rPr>
          <w:rFonts w:hint="eastAsia" w:ascii="宋体" w:hAnsi="宋体"/>
          <w:color w:val="000000"/>
          <w:sz w:val="24"/>
        </w:rPr>
      </w:pPr>
      <w:r>
        <w:rPr>
          <w:rFonts w:hint="eastAsia" w:ascii="宋体" w:hAnsi="宋体"/>
          <w:color w:val="000000"/>
          <w:sz w:val="24"/>
        </w:rPr>
        <w:t>单位：元</w:t>
      </w:r>
    </w:p>
    <w:tbl>
      <w:tblPr>
        <w:tblStyle w:val="36"/>
        <w:tblW w:w="9637" w:type="dxa"/>
        <w:jc w:val="center"/>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180"/>
        <w:gridCol w:w="563"/>
        <w:gridCol w:w="488"/>
        <w:gridCol w:w="782"/>
        <w:gridCol w:w="835"/>
        <w:gridCol w:w="1229"/>
        <w:gridCol w:w="1037"/>
        <w:gridCol w:w="113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249"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产品名称</w:t>
            </w:r>
          </w:p>
        </w:tc>
        <w:tc>
          <w:tcPr>
            <w:tcW w:w="1180"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规格型号</w:t>
            </w:r>
          </w:p>
        </w:tc>
        <w:tc>
          <w:tcPr>
            <w:tcW w:w="563"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单位</w:t>
            </w:r>
          </w:p>
        </w:tc>
        <w:tc>
          <w:tcPr>
            <w:tcW w:w="488"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数量</w:t>
            </w:r>
          </w:p>
        </w:tc>
        <w:tc>
          <w:tcPr>
            <w:tcW w:w="782"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单价</w:t>
            </w:r>
          </w:p>
        </w:tc>
        <w:tc>
          <w:tcPr>
            <w:tcW w:w="835"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小计</w:t>
            </w:r>
          </w:p>
        </w:tc>
        <w:tc>
          <w:tcPr>
            <w:tcW w:w="1229" w:type="dxa"/>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生产厂商</w:t>
            </w:r>
          </w:p>
        </w:tc>
        <w:tc>
          <w:tcPr>
            <w:tcW w:w="1037" w:type="dxa"/>
            <w:vAlign w:val="top"/>
          </w:tcPr>
          <w:p>
            <w:pPr>
              <w:spacing w:before="100" w:beforeLines="50" w:beforeAutospacing="1" w:after="100" w:afterLines="30" w:afterAutospacing="1"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质保期(年)</w:t>
            </w:r>
          </w:p>
        </w:tc>
        <w:tc>
          <w:tcPr>
            <w:tcW w:w="1137" w:type="dxa"/>
            <w:vAlign w:val="top"/>
          </w:tcPr>
          <w:p>
            <w:pPr>
              <w:spacing w:before="100" w:beforeLines="50" w:beforeAutospacing="1" w:after="100" w:afterLines="30" w:afterAutospacing="1" w:line="360" w:lineRule="auto"/>
              <w:jc w:val="center"/>
              <w:rPr>
                <w:rFonts w:hint="eastAsia" w:ascii="宋体" w:hAnsi="宋体" w:eastAsia="宋体"/>
                <w:color w:val="000000"/>
                <w:sz w:val="24"/>
                <w:lang w:val="en-US" w:eastAsia="zh-CN"/>
              </w:rPr>
            </w:pPr>
            <w:r>
              <w:rPr>
                <w:rFonts w:hint="eastAsia" w:ascii="宋体" w:hAnsi="宋体"/>
                <w:color w:val="000000"/>
                <w:sz w:val="24"/>
                <w:lang w:eastAsia="zh-CN"/>
              </w:rPr>
              <w:t>技术保（年）</w:t>
            </w:r>
          </w:p>
        </w:tc>
        <w:tc>
          <w:tcPr>
            <w:tcW w:w="1137" w:type="dxa"/>
            <w:vAlign w:val="top"/>
          </w:tcPr>
          <w:p>
            <w:pPr>
              <w:spacing w:before="100" w:beforeLines="50" w:beforeAutospacing="1" w:after="100" w:afterLines="30" w:afterAutospacing="1"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49" w:type="dxa"/>
            <w:vAlign w:val="top"/>
          </w:tcPr>
          <w:p>
            <w:pPr>
              <w:spacing w:before="100" w:beforeLines="50" w:beforeAutospacing="1" w:after="100" w:afterLines="30" w:afterAutospacing="1" w:line="360" w:lineRule="auto"/>
              <w:rPr>
                <w:rFonts w:hint="eastAsia" w:ascii="宋体" w:hAnsi="宋体"/>
                <w:color w:val="000000"/>
                <w:sz w:val="24"/>
              </w:rPr>
            </w:pPr>
          </w:p>
        </w:tc>
        <w:tc>
          <w:tcPr>
            <w:tcW w:w="1180" w:type="dxa"/>
            <w:vAlign w:val="top"/>
          </w:tcPr>
          <w:p>
            <w:pPr>
              <w:spacing w:before="100" w:beforeLines="50" w:beforeAutospacing="1" w:after="100" w:afterLines="30" w:afterAutospacing="1" w:line="360" w:lineRule="auto"/>
              <w:rPr>
                <w:rFonts w:hint="eastAsia" w:ascii="宋体" w:hAnsi="宋体"/>
                <w:color w:val="000000"/>
                <w:sz w:val="24"/>
              </w:rPr>
            </w:pPr>
          </w:p>
        </w:tc>
        <w:tc>
          <w:tcPr>
            <w:tcW w:w="563" w:type="dxa"/>
            <w:vAlign w:val="top"/>
          </w:tcPr>
          <w:p>
            <w:pPr>
              <w:spacing w:before="100" w:beforeLines="50" w:beforeAutospacing="1" w:after="100" w:afterLines="30" w:afterAutospacing="1" w:line="360" w:lineRule="auto"/>
              <w:rPr>
                <w:rFonts w:hint="eastAsia" w:ascii="宋体" w:hAnsi="宋体"/>
                <w:color w:val="000000"/>
                <w:sz w:val="24"/>
              </w:rPr>
            </w:pPr>
          </w:p>
        </w:tc>
        <w:tc>
          <w:tcPr>
            <w:tcW w:w="488" w:type="dxa"/>
            <w:vAlign w:val="top"/>
          </w:tcPr>
          <w:p>
            <w:pPr>
              <w:spacing w:before="100" w:beforeLines="50" w:beforeAutospacing="1" w:after="100" w:afterLines="30" w:afterAutospacing="1" w:line="360" w:lineRule="auto"/>
              <w:rPr>
                <w:rFonts w:hint="eastAsia" w:ascii="宋体" w:hAnsi="宋体"/>
                <w:color w:val="000000"/>
                <w:sz w:val="24"/>
              </w:rPr>
            </w:pPr>
          </w:p>
        </w:tc>
        <w:tc>
          <w:tcPr>
            <w:tcW w:w="782" w:type="dxa"/>
            <w:vAlign w:val="top"/>
          </w:tcPr>
          <w:p>
            <w:pPr>
              <w:spacing w:before="100" w:beforeLines="50" w:beforeAutospacing="1" w:after="100" w:afterLines="30" w:afterAutospacing="1" w:line="360" w:lineRule="auto"/>
              <w:rPr>
                <w:rFonts w:hint="eastAsia" w:ascii="宋体" w:hAnsi="宋体"/>
                <w:color w:val="000000"/>
                <w:sz w:val="24"/>
              </w:rPr>
            </w:pPr>
          </w:p>
        </w:tc>
        <w:tc>
          <w:tcPr>
            <w:tcW w:w="835" w:type="dxa"/>
            <w:vAlign w:val="top"/>
          </w:tcPr>
          <w:p>
            <w:pPr>
              <w:spacing w:before="100" w:beforeLines="50" w:beforeAutospacing="1" w:after="100" w:afterLines="30" w:afterAutospacing="1" w:line="360" w:lineRule="auto"/>
              <w:rPr>
                <w:rFonts w:hint="eastAsia" w:ascii="宋体" w:hAnsi="宋体"/>
                <w:color w:val="000000"/>
                <w:sz w:val="24"/>
              </w:rPr>
            </w:pPr>
          </w:p>
        </w:tc>
        <w:tc>
          <w:tcPr>
            <w:tcW w:w="1229" w:type="dxa"/>
            <w:vAlign w:val="top"/>
          </w:tcPr>
          <w:p>
            <w:pPr>
              <w:spacing w:before="100" w:beforeLines="50" w:beforeAutospacing="1" w:after="100" w:afterLines="30" w:afterAutospacing="1" w:line="360" w:lineRule="auto"/>
              <w:rPr>
                <w:rFonts w:hint="eastAsia" w:ascii="宋体" w:hAnsi="宋体"/>
                <w:color w:val="000000"/>
                <w:sz w:val="24"/>
              </w:rPr>
            </w:pPr>
          </w:p>
        </w:tc>
        <w:tc>
          <w:tcPr>
            <w:tcW w:w="10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249" w:type="dxa"/>
            <w:vAlign w:val="top"/>
          </w:tcPr>
          <w:p>
            <w:pPr>
              <w:spacing w:before="100" w:beforeLines="50" w:beforeAutospacing="1" w:after="100" w:afterLines="30" w:afterAutospacing="1" w:line="360" w:lineRule="auto"/>
              <w:rPr>
                <w:rFonts w:hint="eastAsia" w:ascii="宋体" w:hAnsi="宋体"/>
                <w:color w:val="000000"/>
                <w:sz w:val="24"/>
              </w:rPr>
            </w:pPr>
          </w:p>
        </w:tc>
        <w:tc>
          <w:tcPr>
            <w:tcW w:w="1180" w:type="dxa"/>
            <w:vAlign w:val="top"/>
          </w:tcPr>
          <w:p>
            <w:pPr>
              <w:spacing w:before="100" w:beforeLines="50" w:beforeAutospacing="1" w:after="100" w:afterLines="30" w:afterAutospacing="1" w:line="360" w:lineRule="auto"/>
              <w:rPr>
                <w:rFonts w:hint="eastAsia" w:ascii="宋体" w:hAnsi="宋体"/>
                <w:color w:val="000000"/>
                <w:sz w:val="24"/>
              </w:rPr>
            </w:pPr>
          </w:p>
        </w:tc>
        <w:tc>
          <w:tcPr>
            <w:tcW w:w="563" w:type="dxa"/>
            <w:vAlign w:val="top"/>
          </w:tcPr>
          <w:p>
            <w:pPr>
              <w:spacing w:before="100" w:beforeLines="50" w:beforeAutospacing="1" w:after="100" w:afterLines="30" w:afterAutospacing="1" w:line="360" w:lineRule="auto"/>
              <w:rPr>
                <w:rFonts w:hint="eastAsia" w:ascii="宋体" w:hAnsi="宋体"/>
                <w:color w:val="000000"/>
                <w:sz w:val="24"/>
              </w:rPr>
            </w:pPr>
          </w:p>
        </w:tc>
        <w:tc>
          <w:tcPr>
            <w:tcW w:w="488" w:type="dxa"/>
            <w:vAlign w:val="top"/>
          </w:tcPr>
          <w:p>
            <w:pPr>
              <w:spacing w:before="100" w:beforeLines="50" w:beforeAutospacing="1" w:after="100" w:afterLines="30" w:afterAutospacing="1" w:line="360" w:lineRule="auto"/>
              <w:rPr>
                <w:rFonts w:hint="eastAsia" w:ascii="宋体" w:hAnsi="宋体"/>
                <w:color w:val="000000"/>
                <w:sz w:val="24"/>
              </w:rPr>
            </w:pPr>
          </w:p>
        </w:tc>
        <w:tc>
          <w:tcPr>
            <w:tcW w:w="782" w:type="dxa"/>
            <w:vAlign w:val="top"/>
          </w:tcPr>
          <w:p>
            <w:pPr>
              <w:spacing w:before="100" w:beforeLines="50" w:beforeAutospacing="1" w:after="100" w:afterLines="30" w:afterAutospacing="1" w:line="360" w:lineRule="auto"/>
              <w:rPr>
                <w:rFonts w:hint="eastAsia" w:ascii="宋体" w:hAnsi="宋体"/>
                <w:color w:val="000000"/>
                <w:sz w:val="24"/>
              </w:rPr>
            </w:pPr>
          </w:p>
        </w:tc>
        <w:tc>
          <w:tcPr>
            <w:tcW w:w="835" w:type="dxa"/>
            <w:vAlign w:val="top"/>
          </w:tcPr>
          <w:p>
            <w:pPr>
              <w:spacing w:before="100" w:beforeLines="50" w:beforeAutospacing="1" w:after="100" w:afterLines="30" w:afterAutospacing="1" w:line="360" w:lineRule="auto"/>
              <w:rPr>
                <w:rFonts w:hint="eastAsia" w:ascii="宋体" w:hAnsi="宋体"/>
                <w:color w:val="000000"/>
                <w:sz w:val="24"/>
              </w:rPr>
            </w:pPr>
          </w:p>
        </w:tc>
        <w:tc>
          <w:tcPr>
            <w:tcW w:w="1229" w:type="dxa"/>
            <w:vAlign w:val="top"/>
          </w:tcPr>
          <w:p>
            <w:pPr>
              <w:spacing w:before="100" w:beforeLines="50" w:beforeAutospacing="1" w:after="100" w:afterLines="30" w:afterAutospacing="1" w:line="360" w:lineRule="auto"/>
              <w:rPr>
                <w:rFonts w:hint="eastAsia" w:ascii="宋体" w:hAnsi="宋体"/>
                <w:color w:val="000000"/>
                <w:sz w:val="24"/>
              </w:rPr>
            </w:pPr>
          </w:p>
        </w:tc>
        <w:tc>
          <w:tcPr>
            <w:tcW w:w="10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c>
          <w:tcPr>
            <w:tcW w:w="1137" w:type="dxa"/>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262" w:type="dxa"/>
            <w:gridSpan w:val="5"/>
            <w:vAlign w:val="top"/>
          </w:tcPr>
          <w:p>
            <w:pPr>
              <w:spacing w:before="100" w:beforeLines="50" w:beforeAutospacing="1" w:after="100" w:afterLines="30" w:afterAutospacing="1" w:line="360" w:lineRule="auto"/>
              <w:jc w:val="center"/>
              <w:rPr>
                <w:rFonts w:hint="eastAsia" w:ascii="宋体" w:hAnsi="宋体"/>
                <w:color w:val="000000"/>
                <w:sz w:val="24"/>
              </w:rPr>
            </w:pPr>
            <w:r>
              <w:rPr>
                <w:rFonts w:hint="eastAsia" w:ascii="宋体" w:hAnsi="宋体"/>
                <w:color w:val="000000"/>
                <w:sz w:val="24"/>
              </w:rPr>
              <w:t>合计</w:t>
            </w:r>
          </w:p>
        </w:tc>
        <w:tc>
          <w:tcPr>
            <w:tcW w:w="5375" w:type="dxa"/>
            <w:gridSpan w:val="5"/>
            <w:vAlign w:val="top"/>
          </w:tcPr>
          <w:p>
            <w:pPr>
              <w:spacing w:before="100" w:beforeLines="50" w:beforeAutospacing="1" w:after="100" w:afterLines="30" w:afterAutospacing="1"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637" w:type="dxa"/>
            <w:gridSpan w:val="10"/>
            <w:vAlign w:val="top"/>
          </w:tcPr>
          <w:p>
            <w:pPr>
              <w:spacing w:before="100" w:beforeLines="50" w:beforeAutospacing="1" w:after="100" w:afterLines="30" w:afterAutospacing="1" w:line="360" w:lineRule="auto"/>
              <w:rPr>
                <w:rFonts w:hint="eastAsia" w:ascii="宋体" w:hAnsi="宋体"/>
                <w:color w:val="000000"/>
                <w:sz w:val="24"/>
              </w:rPr>
            </w:pPr>
            <w:r>
              <w:rPr>
                <w:rFonts w:hint="eastAsia" w:ascii="宋体" w:hAnsi="宋体"/>
                <w:color w:val="000000"/>
                <w:sz w:val="24"/>
              </w:rPr>
              <w:t>合同总金额（大写）：</w:t>
            </w:r>
          </w:p>
          <w:p>
            <w:pPr>
              <w:spacing w:before="100" w:beforeLines="50" w:beforeAutospacing="1" w:after="100" w:afterLines="30" w:afterAutospacing="1" w:line="360" w:lineRule="auto"/>
              <w:rPr>
                <w:rFonts w:hint="eastAsia" w:ascii="宋体" w:hAnsi="宋体"/>
                <w:color w:val="000000"/>
                <w:sz w:val="24"/>
              </w:rPr>
            </w:pPr>
            <w:r>
              <w:rPr>
                <w:rFonts w:hint="eastAsia" w:ascii="宋体" w:hAnsi="宋体"/>
                <w:color w:val="000000"/>
                <w:sz w:val="24"/>
              </w:rPr>
              <w:t>备注：上述产品报价含产品生产、运输送达至</w:t>
            </w:r>
            <w:r>
              <w:rPr>
                <w:rFonts w:hint="eastAsia" w:ascii="宋体" w:hAnsi="宋体"/>
                <w:color w:val="000000"/>
                <w:sz w:val="24"/>
                <w:lang w:eastAsia="zh-CN"/>
              </w:rPr>
              <w:t>甲</w:t>
            </w:r>
            <w:r>
              <w:rPr>
                <w:rFonts w:hint="eastAsia" w:ascii="宋体" w:hAnsi="宋体"/>
                <w:color w:val="000000"/>
                <w:sz w:val="24"/>
              </w:rPr>
              <w:t>方指定地点并下货、安装、调试、检验及售后服务、税金、劳保基金等费用。</w:t>
            </w:r>
          </w:p>
        </w:tc>
      </w:tr>
    </w:tbl>
    <w:p>
      <w:pPr>
        <w:spacing w:line="360" w:lineRule="auto"/>
        <w:rPr>
          <w:rFonts w:hint="eastAsia" w:ascii="宋体" w:hAnsi="宋体"/>
          <w:b/>
          <w:color w:val="000000"/>
          <w:sz w:val="24"/>
          <w:lang w:eastAsia="zh-CN"/>
        </w:rPr>
      </w:pPr>
    </w:p>
    <w:p>
      <w:pPr>
        <w:spacing w:line="360" w:lineRule="auto"/>
        <w:rPr>
          <w:rFonts w:hint="eastAsia" w:ascii="宋体" w:hAnsi="宋体"/>
          <w:b/>
          <w:color w:val="000000"/>
          <w:sz w:val="24"/>
        </w:rPr>
      </w:pPr>
      <w:r>
        <w:rPr>
          <w:rFonts w:hint="eastAsia" w:ascii="宋体" w:hAnsi="宋体"/>
          <w:b/>
          <w:color w:val="000000"/>
          <w:sz w:val="24"/>
        </w:rPr>
        <w:t>二、组成合同的文件</w:t>
      </w:r>
    </w:p>
    <w:p>
      <w:pPr>
        <w:spacing w:line="360" w:lineRule="auto"/>
        <w:rPr>
          <w:rFonts w:hint="eastAsia" w:ascii="宋体" w:hAnsi="宋体"/>
          <w:color w:val="000000"/>
          <w:sz w:val="24"/>
        </w:rPr>
      </w:pPr>
      <w:r>
        <w:rPr>
          <w:rFonts w:hint="eastAsia" w:ascii="宋体" w:hAnsi="宋体"/>
          <w:color w:val="000000"/>
          <w:sz w:val="24"/>
        </w:rPr>
        <w:t>组成本合同的文件包括：</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采购文件及答疑、更正公告</w:t>
      </w:r>
      <w:r>
        <w:rPr>
          <w:rFonts w:ascii="宋体" w:hAnsi="宋体"/>
          <w:color w:val="000000"/>
          <w:sz w:val="24"/>
        </w:rPr>
        <w:t>；</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采购文件标准文本中的“合同条款”；</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3、</w:t>
      </w:r>
      <w:r>
        <w:rPr>
          <w:rFonts w:ascii="宋体" w:hAnsi="宋体"/>
          <w:color w:val="000000"/>
          <w:sz w:val="24"/>
        </w:rPr>
        <w:t>中标</w:t>
      </w:r>
      <w:r>
        <w:rPr>
          <w:rFonts w:hint="eastAsia" w:ascii="宋体" w:hAnsi="宋体"/>
          <w:color w:val="000000"/>
          <w:sz w:val="24"/>
        </w:rPr>
        <w:t>或成交</w:t>
      </w:r>
      <w:r>
        <w:rPr>
          <w:rFonts w:ascii="宋体" w:hAnsi="宋体"/>
          <w:color w:val="000000"/>
          <w:sz w:val="24"/>
        </w:rPr>
        <w:t>公告</w:t>
      </w:r>
      <w:r>
        <w:rPr>
          <w:rFonts w:hint="eastAsia" w:ascii="宋体" w:hAnsi="宋体"/>
          <w:color w:val="000000"/>
          <w:sz w:val="24"/>
        </w:rPr>
        <w:t>；</w:t>
      </w:r>
    </w:p>
    <w:p>
      <w:pPr>
        <w:numPr>
          <w:ilvl w:val="0"/>
          <w:numId w:val="0"/>
        </w:numPr>
        <w:tabs>
          <w:tab w:val="left" w:pos="915"/>
        </w:tabs>
        <w:spacing w:line="360" w:lineRule="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卖方提交的投标文件及书面承诺函；</w:t>
      </w:r>
    </w:p>
    <w:p>
      <w:pPr>
        <w:numPr>
          <w:ilvl w:val="0"/>
          <w:numId w:val="0"/>
        </w:numPr>
        <w:tabs>
          <w:tab w:val="left" w:pos="915"/>
        </w:tabs>
        <w:spacing w:line="360" w:lineRule="auto"/>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双方</w:t>
      </w:r>
      <w:r>
        <w:rPr>
          <w:rFonts w:ascii="宋体" w:hAnsi="宋体"/>
          <w:color w:val="000000"/>
          <w:sz w:val="24"/>
        </w:rPr>
        <w:t>另行签订的</w:t>
      </w:r>
      <w:r>
        <w:rPr>
          <w:rFonts w:hint="eastAsia" w:ascii="宋体" w:hAnsi="宋体"/>
          <w:color w:val="000000"/>
          <w:sz w:val="24"/>
        </w:rPr>
        <w:t>补充协议。</w:t>
      </w:r>
    </w:p>
    <w:p>
      <w:pPr>
        <w:spacing w:line="360" w:lineRule="auto"/>
        <w:rPr>
          <w:rFonts w:hint="eastAsia" w:ascii="宋体" w:hAnsi="宋体" w:eastAsia="宋体"/>
          <w:b/>
          <w:color w:val="000000"/>
          <w:sz w:val="24"/>
          <w:lang w:val="en-US" w:eastAsia="zh-CN"/>
        </w:rPr>
      </w:pPr>
      <w:r>
        <w:rPr>
          <w:rFonts w:hint="eastAsia" w:ascii="宋体" w:hAnsi="宋体"/>
          <w:b/>
          <w:color w:val="000000"/>
          <w:sz w:val="24"/>
          <w:lang w:eastAsia="zh-CN"/>
        </w:rPr>
        <w:t>三</w:t>
      </w: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合同</w:t>
      </w:r>
      <w:r>
        <w:rPr>
          <w:rFonts w:hint="eastAsia" w:ascii="宋体" w:hAnsi="宋体"/>
          <w:b/>
          <w:color w:val="000000"/>
          <w:sz w:val="24"/>
          <w:lang w:eastAsia="zh-CN"/>
        </w:rPr>
        <w:t>总价</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合同总价为人民币大写</w:t>
      </w:r>
      <w:r>
        <w:rPr>
          <w:rFonts w:hint="eastAsia" w:ascii="宋体" w:hAnsi="宋体" w:cs="宋体"/>
          <w:color w:val="FF0000"/>
          <w:kern w:val="0"/>
          <w:sz w:val="24"/>
        </w:rPr>
        <w:t>：</w:t>
      </w:r>
      <w:r>
        <w:rPr>
          <w:rFonts w:hint="eastAsia" w:ascii="宋体" w:hAnsi="宋体" w:cs="宋体"/>
          <w:color w:val="FF0000"/>
          <w:kern w:val="0"/>
          <w:sz w:val="24"/>
          <w:lang w:val="en-US" w:eastAsia="zh-CN"/>
        </w:rPr>
        <w:t xml:space="preserve">       </w:t>
      </w:r>
      <w:r>
        <w:rPr>
          <w:rFonts w:hint="eastAsia" w:ascii="宋体" w:hAnsi="宋体" w:cs="宋体"/>
          <w:color w:val="FF0000"/>
          <w:kern w:val="0"/>
          <w:sz w:val="24"/>
        </w:rPr>
        <w:t>即 RMB¥</w:t>
      </w:r>
      <w:r>
        <w:rPr>
          <w:rFonts w:hint="eastAsia" w:ascii="宋体" w:hAnsi="宋体" w:cs="宋体"/>
          <w:color w:val="FF0000"/>
          <w:kern w:val="0"/>
          <w:sz w:val="24"/>
          <w:lang w:val="en-US" w:eastAsia="zh-CN"/>
        </w:rPr>
        <w:t xml:space="preserve">       </w:t>
      </w:r>
      <w:r>
        <w:rPr>
          <w:rFonts w:hint="eastAsia" w:ascii="宋体" w:hAnsi="宋体" w:cs="宋体"/>
          <w:color w:val="FF0000"/>
          <w:kern w:val="0"/>
          <w:sz w:val="24"/>
        </w:rPr>
        <w:t>元</w:t>
      </w:r>
      <w:r>
        <w:rPr>
          <w:rFonts w:hint="eastAsia" w:ascii="宋体" w:hAnsi="宋体" w:cs="宋体"/>
          <w:color w:val="000000"/>
          <w:kern w:val="0"/>
          <w:sz w:val="24"/>
        </w:rPr>
        <w:t>；该合同总价已包括包装、运输、安装、调试、检测、培训、验收合格交付使用之前及保修期内保修服务与备用物件等等所有其他有关各项的含税费用。本合同执行期间合同总价不变，甲方无须另向乙方支付本合同规定之外的其他任何费用。</w:t>
      </w:r>
    </w:p>
    <w:p>
      <w:pPr>
        <w:widowControl/>
        <w:spacing w:line="360" w:lineRule="auto"/>
        <w:jc w:val="left"/>
        <w:rPr>
          <w:rFonts w:hint="eastAsia" w:ascii="宋体" w:hAnsi="宋体"/>
          <w:b/>
          <w:color w:val="000000"/>
          <w:sz w:val="24"/>
        </w:rPr>
      </w:pPr>
      <w:r>
        <w:rPr>
          <w:rFonts w:hint="eastAsia" w:ascii="宋体" w:hAnsi="宋体" w:cs="宋体"/>
          <w:color w:val="000000"/>
          <w:kern w:val="0"/>
          <w:sz w:val="24"/>
          <w:lang w:eastAsia="zh-CN"/>
        </w:rPr>
        <w:t>四</w:t>
      </w:r>
      <w:r>
        <w:rPr>
          <w:rFonts w:hint="eastAsia" w:ascii="宋体" w:hAnsi="宋体"/>
          <w:b/>
          <w:color w:val="000000"/>
          <w:sz w:val="24"/>
        </w:rPr>
        <w:t>、供货期限</w:t>
      </w:r>
    </w:p>
    <w:p>
      <w:pPr>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方应于合同签字生效后开始计算的</w:t>
      </w:r>
      <w:r>
        <w:rPr>
          <w:rFonts w:hint="eastAsia" w:ascii="宋体" w:hAnsi="宋体"/>
          <w:b/>
          <w:color w:val="000000"/>
          <w:sz w:val="24"/>
          <w:u w:val="single"/>
        </w:rPr>
        <w:t xml:space="preserve"> </w:t>
      </w:r>
      <w:r>
        <w:rPr>
          <w:rFonts w:hint="eastAsia" w:ascii="宋体" w:hAnsi="宋体"/>
          <w:b/>
          <w:color w:val="FF0000"/>
          <w:sz w:val="24"/>
          <w:u w:val="single"/>
          <w:lang w:val="en-US" w:eastAsia="zh-CN"/>
        </w:rPr>
        <w:t>30</w:t>
      </w:r>
      <w:r>
        <w:rPr>
          <w:rFonts w:hint="eastAsia" w:ascii="宋体" w:hAnsi="宋体"/>
          <w:b/>
          <w:color w:val="FF0000"/>
          <w:sz w:val="24"/>
          <w:u w:val="single"/>
        </w:rPr>
        <w:t xml:space="preserve"> </w:t>
      </w:r>
      <w:r>
        <w:rPr>
          <w:rFonts w:hint="eastAsia" w:ascii="宋体" w:hAnsi="宋体"/>
          <w:color w:val="000000"/>
          <w:sz w:val="24"/>
        </w:rPr>
        <w:t>日内将货物送到</w:t>
      </w:r>
      <w:r>
        <w:rPr>
          <w:rFonts w:hint="eastAsia" w:ascii="宋体" w:hAnsi="宋体"/>
          <w:color w:val="000000"/>
          <w:sz w:val="24"/>
          <w:lang w:eastAsia="zh-CN"/>
        </w:rPr>
        <w:t>甲</w:t>
      </w:r>
      <w:r>
        <w:rPr>
          <w:rFonts w:hint="eastAsia" w:ascii="宋体" w:hAnsi="宋体"/>
          <w:color w:val="000000"/>
          <w:sz w:val="24"/>
        </w:rPr>
        <w:t>方指定的地点，由</w:t>
      </w:r>
      <w:r>
        <w:rPr>
          <w:rFonts w:hint="eastAsia" w:ascii="宋体" w:hAnsi="宋体"/>
          <w:color w:val="000000"/>
          <w:sz w:val="24"/>
          <w:lang w:eastAsia="zh-CN"/>
        </w:rPr>
        <w:t>甲</w:t>
      </w:r>
      <w:r>
        <w:rPr>
          <w:rFonts w:hint="eastAsia" w:ascii="宋体" w:hAnsi="宋体"/>
          <w:color w:val="000000"/>
          <w:sz w:val="24"/>
        </w:rPr>
        <w:t>方进行验收。</w:t>
      </w:r>
    </w:p>
    <w:p>
      <w:pPr>
        <w:spacing w:line="360" w:lineRule="auto"/>
        <w:rPr>
          <w:rFonts w:hint="eastAsia" w:ascii="宋体" w:hAnsi="宋体"/>
          <w:b/>
          <w:color w:val="000000"/>
          <w:sz w:val="24"/>
        </w:rPr>
      </w:pPr>
      <w:r>
        <w:rPr>
          <w:rFonts w:hint="eastAsia" w:ascii="宋体" w:hAnsi="宋体"/>
          <w:color w:val="000000"/>
          <w:sz w:val="24"/>
          <w:lang w:val="en-US" w:eastAsia="zh-CN"/>
        </w:rPr>
        <w:t>2、</w:t>
      </w:r>
      <w:r>
        <w:rPr>
          <w:rFonts w:hint="eastAsia" w:ascii="宋体" w:hAnsi="宋体"/>
          <w:color w:val="000000"/>
          <w:sz w:val="24"/>
        </w:rPr>
        <w:t>货物运输至</w:t>
      </w:r>
      <w:r>
        <w:rPr>
          <w:rFonts w:hint="eastAsia" w:ascii="宋体" w:hAnsi="宋体"/>
          <w:color w:val="000000"/>
          <w:sz w:val="24"/>
          <w:lang w:eastAsia="zh-CN"/>
        </w:rPr>
        <w:t>甲</w:t>
      </w:r>
      <w:r>
        <w:rPr>
          <w:rFonts w:hint="eastAsia" w:ascii="宋体" w:hAnsi="宋体"/>
          <w:color w:val="000000"/>
          <w:sz w:val="24"/>
        </w:rPr>
        <w:t xml:space="preserve">方指定地点到货物验收合格前， </w:t>
      </w:r>
      <w:r>
        <w:rPr>
          <w:rFonts w:hint="eastAsia" w:ascii="宋体" w:hAnsi="宋体"/>
          <w:color w:val="000000"/>
          <w:sz w:val="24"/>
          <w:u w:val="single"/>
        </w:rPr>
        <w:t xml:space="preserve"> </w:t>
      </w:r>
      <w:r>
        <w:rPr>
          <w:rFonts w:hint="eastAsia" w:ascii="宋体" w:hAnsi="宋体"/>
          <w:color w:val="FF0000"/>
          <w:sz w:val="24"/>
          <w:u w:val="single"/>
        </w:rPr>
        <w:t xml:space="preserve"> </w:t>
      </w:r>
      <w:r>
        <w:rPr>
          <w:rFonts w:hint="eastAsia" w:ascii="宋体" w:hAnsi="宋体"/>
          <w:color w:val="FF0000"/>
          <w:sz w:val="24"/>
          <w:u w:val="single"/>
          <w:lang w:eastAsia="zh-CN"/>
        </w:rPr>
        <w:t>乙方</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负责对货物承担安保义务。</w:t>
      </w:r>
    </w:p>
    <w:p>
      <w:pPr>
        <w:widowControl/>
        <w:spacing w:line="360" w:lineRule="auto"/>
        <w:rPr>
          <w:rFonts w:hint="eastAsia" w:ascii="宋体" w:hAnsi="宋体"/>
          <w:b/>
          <w:color w:val="000000"/>
          <w:sz w:val="24"/>
        </w:rPr>
      </w:pPr>
      <w:r>
        <w:rPr>
          <w:rFonts w:hint="eastAsia" w:ascii="宋体" w:hAnsi="宋体"/>
          <w:b/>
          <w:color w:val="000000"/>
          <w:sz w:val="24"/>
          <w:lang w:eastAsia="zh-CN"/>
        </w:rPr>
        <w:t>五</w:t>
      </w:r>
      <w:r>
        <w:rPr>
          <w:rFonts w:hint="eastAsia" w:ascii="宋体" w:hAnsi="宋体"/>
          <w:b/>
          <w:color w:val="000000"/>
          <w:sz w:val="24"/>
        </w:rPr>
        <w:t>、验收要求</w:t>
      </w:r>
    </w:p>
    <w:p>
      <w:pPr>
        <w:widowControl/>
        <w:spacing w:line="360" w:lineRule="auto"/>
        <w:jc w:val="left"/>
      </w:pPr>
      <w:r>
        <w:rPr>
          <w:rFonts w:hint="eastAsia" w:ascii="宋体" w:hAnsi="宋体" w:cs="宋体"/>
          <w:color w:val="000000"/>
          <w:kern w:val="0"/>
          <w:sz w:val="24"/>
        </w:rPr>
        <w:t>1、乙方交货期为合同签订生效后的</w:t>
      </w:r>
      <w:r>
        <w:rPr>
          <w:rFonts w:hint="eastAsia" w:ascii="宋体" w:hAnsi="宋体" w:cs="宋体"/>
          <w:color w:val="000000"/>
          <w:kern w:val="0"/>
          <w:sz w:val="24"/>
          <w:u w:val="single"/>
          <w:lang w:val="en-US" w:eastAsia="zh-CN"/>
        </w:rPr>
        <w:t>30</w:t>
      </w:r>
      <w:r>
        <w:rPr>
          <w:rFonts w:hint="eastAsia" w:ascii="宋体" w:hAnsi="宋体" w:cs="宋体"/>
          <w:color w:val="FF0000"/>
          <w:kern w:val="0"/>
          <w:sz w:val="24"/>
        </w:rPr>
        <w:t>日内交</w:t>
      </w:r>
      <w:r>
        <w:rPr>
          <w:rFonts w:hint="eastAsia" w:ascii="宋体" w:hAnsi="宋体" w:cs="宋体"/>
          <w:color w:val="000000"/>
          <w:kern w:val="0"/>
          <w:sz w:val="24"/>
        </w:rPr>
        <w:t xml:space="preserve">货到甲方指定地点，乙方负责货物的卸货、搬运、安装及产生的相关费用。 </w:t>
      </w:r>
    </w:p>
    <w:p>
      <w:pPr>
        <w:widowControl/>
        <w:spacing w:line="360" w:lineRule="auto"/>
        <w:jc w:val="left"/>
      </w:pPr>
      <w:r>
        <w:rPr>
          <w:rFonts w:hint="eastAsia" w:ascii="宋体" w:hAnsi="宋体" w:cs="宋体"/>
          <w:color w:val="000000"/>
          <w:kern w:val="0"/>
          <w:sz w:val="24"/>
        </w:rPr>
        <w:t xml:space="preserve">2、验收由甲方组织，乙方配合进行：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验收标准：按国家有关规定以及甲方招标文件的质量要求和技术指标、乙方的投标文件及承诺与本合同约定标准进行验收；</w:t>
      </w:r>
    </w:p>
    <w:p>
      <w:pPr>
        <w:widowControl/>
        <w:spacing w:line="360" w:lineRule="auto"/>
        <w:ind w:firstLine="480" w:firstLineChars="200"/>
        <w:jc w:val="left"/>
      </w:pPr>
      <w:r>
        <w:rPr>
          <w:rFonts w:hint="eastAsia" w:ascii="宋体" w:hAnsi="宋体" w:cs="宋体"/>
          <w:color w:val="000000"/>
          <w:kern w:val="0"/>
          <w:sz w:val="24"/>
        </w:rPr>
        <w:t>甲乙双方如对质量要求和技术指标的约定标准有相互抵触或异议的事项，由甲方在招标与投标文件中按质量要求和技术指标比较优胜的原则确定该项的约定标准进行验收</w:t>
      </w:r>
      <w:r>
        <w:rPr>
          <w:rFonts w:hint="eastAsia" w:ascii="宋体" w:hAnsi="宋体" w:cs="宋体"/>
          <w:color w:val="000000"/>
          <w:kern w:val="0"/>
          <w:sz w:val="24"/>
          <w:lang w:eastAsia="zh-CN"/>
        </w:rPr>
        <w:t>。</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 xml:space="preserve">3、乙方应将所提供货物的装箱清单、配件、随机工具、用户使用手册、原厂保修卡等资料交付给甲方。 </w:t>
      </w:r>
    </w:p>
    <w:p>
      <w:pPr>
        <w:widowControl/>
        <w:spacing w:line="360" w:lineRule="auto"/>
        <w:jc w:val="left"/>
        <w:rPr>
          <w:rFonts w:hint="eastAsia" w:ascii="宋体" w:hAnsi="宋体" w:eastAsia="宋体" w:cs="宋体"/>
          <w:b/>
          <w:bCs/>
          <w:color w:val="000000"/>
          <w:kern w:val="0"/>
          <w:sz w:val="24"/>
          <w:lang w:eastAsia="zh-CN"/>
        </w:rPr>
      </w:pPr>
      <w:r>
        <w:rPr>
          <w:rFonts w:hint="eastAsia" w:ascii="宋体" w:hAnsi="宋体" w:cs="宋体"/>
          <w:color w:val="000000"/>
          <w:kern w:val="0"/>
          <w:sz w:val="24"/>
        </w:rPr>
        <w:t>4、交货地点：甲方指定地点</w:t>
      </w:r>
      <w:r>
        <w:rPr>
          <w:rFonts w:hint="eastAsia" w:ascii="宋体" w:hAnsi="宋体" w:cs="宋体"/>
          <w:color w:val="000000"/>
          <w:kern w:val="0"/>
          <w:sz w:val="24"/>
          <w:lang w:eastAsia="zh-CN"/>
        </w:rPr>
        <w:t>。</w:t>
      </w:r>
    </w:p>
    <w:p>
      <w:pPr>
        <w:keepNext w:val="0"/>
        <w:keepLines w:val="0"/>
        <w:widowControl/>
        <w:suppressLineNumbers w:val="0"/>
        <w:jc w:val="left"/>
        <w:rPr>
          <w:rFonts w:hint="eastAsia"/>
        </w:rPr>
      </w:pPr>
      <w:r>
        <w:rPr>
          <w:rFonts w:hint="eastAsia" w:ascii="宋体" w:hAnsi="宋体"/>
          <w:b/>
          <w:bCs w:val="0"/>
          <w:color w:val="FF0000"/>
          <w:sz w:val="24"/>
          <w:lang w:eastAsia="zh-CN"/>
        </w:rPr>
        <w:t>六</w:t>
      </w:r>
      <w:r>
        <w:rPr>
          <w:rFonts w:hint="eastAsia" w:ascii="宋体" w:hAnsi="宋体"/>
          <w:b/>
          <w:bCs w:val="0"/>
          <w:color w:val="FF0000"/>
          <w:sz w:val="24"/>
        </w:rPr>
        <w:t>、付款方式：</w:t>
      </w:r>
    </w:p>
    <w:p>
      <w:pPr>
        <w:widowControl/>
        <w:spacing w:line="360" w:lineRule="auto"/>
        <w:jc w:val="left"/>
        <w:rPr>
          <w:rFonts w:hint="eastAsia" w:ascii="宋体" w:hAnsi="宋体" w:cs="宋体"/>
          <w:color w:val="FF0000"/>
          <w:kern w:val="0"/>
          <w:sz w:val="24"/>
          <w:szCs w:val="22"/>
          <w:lang w:val="en-US" w:eastAsia="zh-CN"/>
        </w:rPr>
      </w:pPr>
      <w:r>
        <w:rPr>
          <w:rFonts w:hint="eastAsia" w:ascii="宋体" w:hAnsi="宋体" w:eastAsia="宋体" w:cs="宋体"/>
          <w:color w:val="FF0000"/>
          <w:kern w:val="0"/>
          <w:sz w:val="24"/>
          <w:szCs w:val="22"/>
          <w:lang w:val="en-US" w:eastAsia="zh-CN"/>
        </w:rPr>
        <w:t>1、合同签订完成且设备验收合格后</w:t>
      </w:r>
      <w:r>
        <w:rPr>
          <w:rFonts w:hint="eastAsia" w:ascii="宋体" w:hAnsi="宋体" w:cs="宋体"/>
          <w:color w:val="FF0000"/>
          <w:kern w:val="0"/>
          <w:sz w:val="24"/>
          <w:szCs w:val="22"/>
          <w:lang w:val="en-US" w:eastAsia="zh-CN"/>
        </w:rPr>
        <w:t>3个月</w:t>
      </w:r>
      <w:r>
        <w:rPr>
          <w:rFonts w:hint="eastAsia" w:ascii="宋体" w:hAnsi="宋体" w:eastAsia="宋体" w:cs="宋体"/>
          <w:color w:val="FF0000"/>
          <w:kern w:val="0"/>
          <w:sz w:val="24"/>
          <w:szCs w:val="22"/>
          <w:lang w:val="en-US" w:eastAsia="zh-CN"/>
        </w:rPr>
        <w:t>，付合同总价的</w:t>
      </w:r>
      <w:r>
        <w:rPr>
          <w:rFonts w:hint="eastAsia" w:ascii="宋体" w:hAnsi="宋体" w:cs="宋体"/>
          <w:color w:val="FF0000"/>
          <w:kern w:val="0"/>
          <w:sz w:val="24"/>
          <w:szCs w:val="22"/>
          <w:lang w:val="en-US" w:eastAsia="zh-CN"/>
        </w:rPr>
        <w:t>10</w:t>
      </w:r>
      <w:r>
        <w:rPr>
          <w:rFonts w:hint="eastAsia" w:ascii="宋体" w:hAnsi="宋体" w:eastAsia="宋体" w:cs="宋体"/>
          <w:color w:val="FF0000"/>
          <w:kern w:val="0"/>
          <w:sz w:val="24"/>
          <w:szCs w:val="22"/>
          <w:lang w:val="en-US" w:eastAsia="zh-CN"/>
        </w:rPr>
        <w:t>0%</w:t>
      </w:r>
      <w:r>
        <w:rPr>
          <w:rFonts w:hint="eastAsia" w:ascii="宋体" w:hAnsi="宋体" w:cs="宋体"/>
          <w:color w:val="FF0000"/>
          <w:kern w:val="0"/>
          <w:sz w:val="24"/>
          <w:szCs w:val="22"/>
          <w:lang w:val="en-US" w:eastAsia="zh-CN"/>
        </w:rPr>
        <w:t>。</w:t>
      </w:r>
    </w:p>
    <w:p>
      <w:pPr>
        <w:widowControl/>
        <w:spacing w:line="360" w:lineRule="auto"/>
        <w:jc w:val="left"/>
        <w:rPr>
          <w:rFonts w:hint="eastAsia" w:ascii="宋体" w:hAnsi="宋体" w:cs="宋体"/>
          <w:color w:val="000000"/>
          <w:kern w:val="0"/>
          <w:sz w:val="24"/>
        </w:rPr>
      </w:pPr>
      <w:r>
        <w:rPr>
          <w:rFonts w:hint="eastAsia" w:ascii="宋体" w:hAnsi="宋体" w:eastAsia="宋体" w:cs="宋体"/>
          <w:color w:val="000000"/>
          <w:kern w:val="0"/>
          <w:sz w:val="24"/>
          <w:szCs w:val="22"/>
        </w:rPr>
        <w:t>2、乙方须向甲方出具合法有效完整的完税发票及凭证资料进行支付结算。</w:t>
      </w:r>
    </w:p>
    <w:p>
      <w:pPr>
        <w:widowControl/>
        <w:spacing w:line="360" w:lineRule="auto"/>
        <w:jc w:val="left"/>
        <w:rPr>
          <w:rFonts w:hint="eastAsia" w:ascii="宋体" w:hAnsi="宋体"/>
          <w:b/>
          <w:color w:val="000000"/>
          <w:sz w:val="24"/>
        </w:rPr>
      </w:pPr>
      <w:r>
        <w:rPr>
          <w:rFonts w:hint="eastAsia" w:ascii="宋体" w:hAnsi="宋体" w:cs="宋体"/>
          <w:color w:val="000000"/>
          <w:kern w:val="0"/>
          <w:sz w:val="24"/>
          <w:lang w:eastAsia="zh-CN"/>
        </w:rPr>
        <w:t>七</w:t>
      </w:r>
      <w:r>
        <w:rPr>
          <w:rFonts w:hint="eastAsia" w:ascii="宋体" w:hAnsi="宋体"/>
          <w:b/>
          <w:color w:val="000000"/>
          <w:sz w:val="24"/>
        </w:rPr>
        <w:t>、售后服务</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方对合同货物的质量保修期为验收证书签署之日起</w:t>
      </w:r>
      <w:r>
        <w:rPr>
          <w:rFonts w:hint="eastAsia" w:ascii="宋体" w:hAnsi="宋体"/>
          <w:color w:val="000000"/>
          <w:sz w:val="24"/>
          <w:lang w:eastAsia="zh-CN"/>
        </w:rPr>
        <w:t>算</w:t>
      </w:r>
      <w:r>
        <w:rPr>
          <w:rFonts w:hint="eastAsia" w:ascii="宋体" w:hAnsi="宋体"/>
          <w:color w:val="000000"/>
          <w:sz w:val="24"/>
        </w:rPr>
        <w:t>。</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lang w:eastAsia="zh-CN"/>
        </w:rPr>
        <w:t>乙</w:t>
      </w:r>
      <w:r>
        <w:rPr>
          <w:rFonts w:hint="eastAsia" w:ascii="宋体" w:hAnsi="宋体"/>
          <w:color w:val="000000"/>
          <w:sz w:val="24"/>
        </w:rPr>
        <w:t>方在合同货物的质量保修期内，免费为</w:t>
      </w:r>
      <w:r>
        <w:rPr>
          <w:rFonts w:hint="eastAsia" w:ascii="宋体" w:hAnsi="宋体"/>
          <w:color w:val="000000"/>
          <w:sz w:val="24"/>
          <w:lang w:eastAsia="zh-CN"/>
        </w:rPr>
        <w:t>甲</w:t>
      </w:r>
      <w:r>
        <w:rPr>
          <w:rFonts w:hint="eastAsia" w:ascii="宋体" w:hAnsi="宋体"/>
          <w:color w:val="000000"/>
          <w:sz w:val="24"/>
        </w:rPr>
        <w:t>方提供合同货物的技术指导和维修服务服务的时间是。</w:t>
      </w:r>
    </w:p>
    <w:p>
      <w:pPr>
        <w:adjustRightInd w:val="0"/>
        <w:snapToGrid w:val="0"/>
        <w:spacing w:line="360" w:lineRule="auto"/>
        <w:rPr>
          <w:rFonts w:hint="eastAsia" w:ascii="宋体" w:hAnsi="宋体"/>
          <w:color w:val="000000"/>
          <w:sz w:val="24"/>
          <w:lang w:val="en-US" w:eastAsia="zh-CN"/>
        </w:rPr>
      </w:pPr>
      <w:r>
        <w:rPr>
          <w:rFonts w:hint="eastAsia" w:ascii="宋体" w:hAnsi="宋体"/>
          <w:color w:val="000000"/>
          <w:sz w:val="24"/>
          <w:lang w:val="en-US" w:eastAsia="zh-CN"/>
        </w:rPr>
        <w:t>3、</w:t>
      </w:r>
      <w:r>
        <w:rPr>
          <w:rFonts w:hint="eastAsia" w:ascii="宋体" w:hAnsi="宋体"/>
          <w:color w:val="000000"/>
          <w:sz w:val="24"/>
          <w:lang w:eastAsia="zh-CN"/>
        </w:rPr>
        <w:t>乙</w:t>
      </w:r>
      <w:r>
        <w:rPr>
          <w:rFonts w:hint="eastAsia" w:ascii="宋体" w:hAnsi="宋体"/>
          <w:color w:val="000000"/>
          <w:sz w:val="24"/>
        </w:rPr>
        <w:t>方保证在合同货物出现故障和缺陷时，或接到</w:t>
      </w:r>
      <w:r>
        <w:rPr>
          <w:rFonts w:hint="eastAsia" w:ascii="宋体" w:hAnsi="宋体"/>
          <w:color w:val="000000"/>
          <w:sz w:val="24"/>
          <w:lang w:eastAsia="zh-CN"/>
        </w:rPr>
        <w:t>甲</w:t>
      </w:r>
      <w:r>
        <w:rPr>
          <w:rFonts w:hint="eastAsia" w:ascii="宋体" w:hAnsi="宋体"/>
          <w:color w:val="000000"/>
          <w:sz w:val="24"/>
        </w:rPr>
        <w:t>方提出的技术服务要求后</w:t>
      </w:r>
      <w:r>
        <w:rPr>
          <w:rFonts w:hint="eastAsia" w:ascii="宋体" w:hAnsi="宋体"/>
          <w:color w:val="FF0000"/>
          <w:sz w:val="24"/>
          <w:u w:val="single"/>
        </w:rPr>
        <w:t xml:space="preserve">      </w:t>
      </w:r>
      <w:r>
        <w:rPr>
          <w:rFonts w:hint="eastAsia" w:ascii="宋体" w:hAnsi="宋体"/>
          <w:color w:val="000000"/>
          <w:sz w:val="24"/>
        </w:rPr>
        <w:t>小时内予以答复，如</w:t>
      </w:r>
      <w:r>
        <w:rPr>
          <w:rFonts w:hint="eastAsia" w:ascii="宋体" w:hAnsi="宋体"/>
          <w:color w:val="000000"/>
          <w:sz w:val="24"/>
          <w:lang w:eastAsia="zh-CN"/>
        </w:rPr>
        <w:t>甲</w:t>
      </w:r>
      <w:r>
        <w:rPr>
          <w:rFonts w:hint="eastAsia" w:ascii="宋体" w:hAnsi="宋体"/>
          <w:color w:val="000000"/>
          <w:sz w:val="24"/>
        </w:rPr>
        <w:t>方有要求或必要时，</w:t>
      </w:r>
      <w:r>
        <w:rPr>
          <w:rFonts w:hint="eastAsia" w:ascii="宋体" w:hAnsi="宋体"/>
          <w:color w:val="000000"/>
          <w:sz w:val="24"/>
          <w:lang w:eastAsia="zh-CN"/>
        </w:rPr>
        <w:t>乙</w:t>
      </w:r>
      <w:r>
        <w:rPr>
          <w:rFonts w:hint="eastAsia" w:ascii="宋体" w:hAnsi="宋体"/>
          <w:color w:val="000000"/>
          <w:sz w:val="24"/>
        </w:rPr>
        <w:t>方应在接到</w:t>
      </w:r>
      <w:r>
        <w:rPr>
          <w:rFonts w:hint="eastAsia" w:ascii="宋体" w:hAnsi="宋体"/>
          <w:color w:val="000000"/>
          <w:sz w:val="24"/>
          <w:lang w:eastAsia="zh-CN"/>
        </w:rPr>
        <w:t>甲</w:t>
      </w:r>
      <w:r>
        <w:rPr>
          <w:rFonts w:hint="eastAsia" w:ascii="宋体" w:hAnsi="宋体"/>
          <w:color w:val="000000"/>
          <w:sz w:val="24"/>
        </w:rPr>
        <w:t>方通知后</w:t>
      </w:r>
      <w:r>
        <w:rPr>
          <w:rFonts w:hint="eastAsia" w:ascii="宋体" w:hAnsi="宋体"/>
          <w:color w:val="FF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小时内派员至</w:t>
      </w:r>
      <w:r>
        <w:rPr>
          <w:rFonts w:hint="eastAsia" w:ascii="宋体" w:hAnsi="宋体"/>
          <w:color w:val="000000"/>
          <w:sz w:val="24"/>
          <w:lang w:eastAsia="zh-CN"/>
        </w:rPr>
        <w:t>甲</w:t>
      </w:r>
      <w:r>
        <w:rPr>
          <w:rFonts w:hint="eastAsia" w:ascii="宋体" w:hAnsi="宋体"/>
          <w:color w:val="000000"/>
          <w:sz w:val="24"/>
        </w:rPr>
        <w:t>方免费维修和提供现场指导。</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方在接到</w:t>
      </w:r>
      <w:r>
        <w:rPr>
          <w:rFonts w:hint="eastAsia" w:ascii="宋体" w:hAnsi="宋体"/>
          <w:color w:val="000000"/>
          <w:sz w:val="24"/>
          <w:lang w:eastAsia="zh-CN"/>
        </w:rPr>
        <w:t>甲</w:t>
      </w:r>
      <w:r>
        <w:rPr>
          <w:rFonts w:hint="eastAsia" w:ascii="宋体" w:hAnsi="宋体"/>
          <w:color w:val="000000"/>
          <w:sz w:val="24"/>
        </w:rPr>
        <w:t>方维修通知后</w:t>
      </w:r>
      <w:r>
        <w:rPr>
          <w:rFonts w:hint="eastAsia" w:ascii="宋体" w:hAnsi="宋体"/>
          <w:color w:val="FF0000"/>
          <w:sz w:val="24"/>
          <w:u w:val="single"/>
        </w:rPr>
        <w:t xml:space="preserve">      </w:t>
      </w:r>
      <w:r>
        <w:rPr>
          <w:rFonts w:hint="eastAsia" w:ascii="宋体" w:hAnsi="宋体"/>
          <w:color w:val="FF0000"/>
          <w:sz w:val="24"/>
        </w:rPr>
        <w:t>小</w:t>
      </w:r>
      <w:r>
        <w:rPr>
          <w:rFonts w:hint="eastAsia" w:ascii="宋体" w:hAnsi="宋体"/>
          <w:color w:val="000000"/>
          <w:sz w:val="24"/>
        </w:rPr>
        <w:t>时仍不能修复有关货物，</w:t>
      </w:r>
      <w:r>
        <w:rPr>
          <w:rFonts w:hint="eastAsia" w:ascii="宋体" w:hAnsi="宋体"/>
          <w:color w:val="000000"/>
          <w:sz w:val="24"/>
          <w:lang w:eastAsia="zh-CN"/>
        </w:rPr>
        <w:t>乙</w:t>
      </w:r>
      <w:r>
        <w:rPr>
          <w:rFonts w:hint="eastAsia" w:ascii="宋体" w:hAnsi="宋体"/>
          <w:color w:val="000000"/>
          <w:sz w:val="24"/>
        </w:rPr>
        <w:t>方应提供与该货物同一型号的备用货物。</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方在接到</w:t>
      </w:r>
      <w:r>
        <w:rPr>
          <w:rFonts w:hint="eastAsia" w:ascii="宋体" w:hAnsi="宋体"/>
          <w:color w:val="000000"/>
          <w:sz w:val="24"/>
          <w:lang w:eastAsia="zh-CN"/>
        </w:rPr>
        <w:t>甲</w:t>
      </w:r>
      <w:r>
        <w:rPr>
          <w:rFonts w:hint="eastAsia" w:ascii="宋体" w:hAnsi="宋体"/>
          <w:color w:val="000000"/>
          <w:sz w:val="24"/>
        </w:rPr>
        <w:t>方提出的技术服务要求或维修通知后</w:t>
      </w:r>
      <w:r>
        <w:rPr>
          <w:rFonts w:hint="eastAsia" w:ascii="宋体" w:hAnsi="宋体"/>
          <w:color w:val="FF0000"/>
          <w:sz w:val="24"/>
          <w:u w:val="single"/>
        </w:rPr>
        <w:t xml:space="preserve">      </w:t>
      </w:r>
      <w:r>
        <w:rPr>
          <w:rFonts w:hint="eastAsia" w:ascii="宋体" w:hAnsi="宋体"/>
          <w:color w:val="000000"/>
          <w:sz w:val="24"/>
        </w:rPr>
        <w:t>小时内没有响应、拒绝或没有派员到达</w:t>
      </w:r>
      <w:r>
        <w:rPr>
          <w:rFonts w:hint="eastAsia" w:ascii="宋体" w:hAnsi="宋体"/>
          <w:color w:val="000000"/>
          <w:sz w:val="24"/>
          <w:lang w:eastAsia="zh-CN"/>
        </w:rPr>
        <w:t>甲</w:t>
      </w:r>
      <w:r>
        <w:rPr>
          <w:rFonts w:hint="eastAsia" w:ascii="宋体" w:hAnsi="宋体"/>
          <w:color w:val="000000"/>
          <w:sz w:val="24"/>
        </w:rPr>
        <w:t>方提供技术服务、修理或退换货物，</w:t>
      </w:r>
      <w:r>
        <w:rPr>
          <w:rFonts w:hint="eastAsia" w:ascii="宋体" w:hAnsi="宋体"/>
          <w:color w:val="000000"/>
          <w:sz w:val="24"/>
          <w:lang w:eastAsia="zh-CN"/>
        </w:rPr>
        <w:t>甲</w:t>
      </w:r>
      <w:r>
        <w:rPr>
          <w:rFonts w:hint="eastAsia" w:ascii="宋体" w:hAnsi="宋体"/>
          <w:color w:val="000000"/>
          <w:sz w:val="24"/>
        </w:rPr>
        <w:t>方有权委托第三方对合同货物进行维修或提供技术服务，因此产生的相关费用由</w:t>
      </w:r>
      <w:r>
        <w:rPr>
          <w:rFonts w:hint="eastAsia" w:ascii="宋体" w:hAnsi="宋体"/>
          <w:color w:val="000000"/>
          <w:sz w:val="24"/>
          <w:lang w:eastAsia="zh-CN"/>
        </w:rPr>
        <w:t>乙</w:t>
      </w:r>
      <w:r>
        <w:rPr>
          <w:rFonts w:hint="eastAsia" w:ascii="宋体" w:hAnsi="宋体"/>
          <w:color w:val="000000"/>
          <w:sz w:val="24"/>
        </w:rPr>
        <w:t>方承担。</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在合同货物保修期届满后，如果因合同货物硬件或软件的固有缺陷和瑕疵出现紧急故障和事故，</w:t>
      </w:r>
      <w:r>
        <w:rPr>
          <w:rFonts w:hint="eastAsia" w:ascii="宋体" w:hAnsi="宋体"/>
          <w:color w:val="000000"/>
          <w:sz w:val="24"/>
          <w:lang w:eastAsia="zh-CN"/>
        </w:rPr>
        <w:t>乙</w:t>
      </w:r>
      <w:r>
        <w:rPr>
          <w:rFonts w:hint="eastAsia" w:ascii="宋体" w:hAnsi="宋体"/>
          <w:color w:val="000000"/>
          <w:sz w:val="24"/>
        </w:rPr>
        <w:t>方应在接到</w:t>
      </w:r>
      <w:r>
        <w:rPr>
          <w:rFonts w:hint="eastAsia" w:ascii="宋体" w:hAnsi="宋体"/>
          <w:color w:val="000000"/>
          <w:sz w:val="24"/>
          <w:lang w:eastAsia="zh-CN"/>
        </w:rPr>
        <w:t>甲</w:t>
      </w:r>
      <w:r>
        <w:rPr>
          <w:rFonts w:hint="eastAsia" w:ascii="宋体" w:hAnsi="宋体"/>
          <w:color w:val="000000"/>
          <w:sz w:val="24"/>
        </w:rPr>
        <w:t>方通知之后</w:t>
      </w:r>
      <w:r>
        <w:rPr>
          <w:rFonts w:hint="eastAsia" w:ascii="宋体" w:hAnsi="宋体"/>
          <w:color w:val="FF0000"/>
          <w:sz w:val="24"/>
          <w:u w:val="single"/>
        </w:rPr>
        <w:t xml:space="preserve">      </w:t>
      </w:r>
      <w:r>
        <w:rPr>
          <w:rFonts w:hint="eastAsia" w:ascii="宋体" w:hAnsi="宋体"/>
          <w:color w:val="FF0000"/>
          <w:sz w:val="24"/>
        </w:rPr>
        <w:t>小</w:t>
      </w:r>
      <w:r>
        <w:rPr>
          <w:rFonts w:hint="eastAsia" w:ascii="宋体" w:hAnsi="宋体"/>
          <w:color w:val="000000"/>
          <w:sz w:val="24"/>
        </w:rPr>
        <w:t>时内到达现场。</w:t>
      </w:r>
    </w:p>
    <w:p>
      <w:pPr>
        <w:spacing w:line="360" w:lineRule="auto"/>
        <w:rPr>
          <w:rFonts w:hint="eastAsia" w:ascii="宋体" w:hAnsi="宋体"/>
          <w:b/>
          <w:color w:val="000000"/>
          <w:sz w:val="24"/>
        </w:rPr>
      </w:pPr>
      <w:r>
        <w:rPr>
          <w:rFonts w:hint="eastAsia" w:ascii="宋体" w:hAnsi="宋体"/>
          <w:b/>
          <w:color w:val="000000"/>
          <w:sz w:val="24"/>
          <w:lang w:eastAsia="zh-CN"/>
        </w:rPr>
        <w:t>八</w:t>
      </w:r>
      <w:r>
        <w:rPr>
          <w:rFonts w:hint="eastAsia" w:ascii="宋体" w:hAnsi="宋体"/>
          <w:b/>
          <w:color w:val="000000"/>
          <w:sz w:val="24"/>
        </w:rPr>
        <w:t>、违约责任</w:t>
      </w:r>
    </w:p>
    <w:p>
      <w:pPr>
        <w:spacing w:line="360" w:lineRule="auto"/>
        <w:rPr>
          <w:rFonts w:hint="eastAsia" w:ascii="宋体" w:hAnsi="宋体"/>
          <w:color w:val="000000"/>
          <w:sz w:val="24"/>
          <w:lang w:eastAsia="zh-CN"/>
        </w:rPr>
      </w:pPr>
      <w:r>
        <w:rPr>
          <w:rFonts w:hint="eastAsia" w:ascii="宋体" w:hAnsi="宋体"/>
          <w:color w:val="000000"/>
          <w:sz w:val="24"/>
          <w:lang w:val="en-US" w:eastAsia="zh-CN"/>
        </w:rPr>
        <w:t>1、</w:t>
      </w:r>
      <w:r>
        <w:rPr>
          <w:rFonts w:hint="eastAsia" w:ascii="宋体" w:hAnsi="宋体"/>
          <w:color w:val="000000"/>
          <w:sz w:val="24"/>
          <w:lang w:eastAsia="zh-CN"/>
        </w:rPr>
        <w:t>乙</w:t>
      </w:r>
      <w:r>
        <w:rPr>
          <w:rFonts w:hint="eastAsia" w:ascii="宋体" w:hAnsi="宋体"/>
          <w:color w:val="000000"/>
          <w:sz w:val="24"/>
        </w:rPr>
        <w:t>方供货期超过合同约定供货期限。如果</w:t>
      </w:r>
      <w:r>
        <w:rPr>
          <w:rFonts w:hint="eastAsia" w:ascii="宋体" w:hAnsi="宋体"/>
          <w:color w:val="000000"/>
          <w:sz w:val="24"/>
          <w:lang w:eastAsia="zh-CN"/>
        </w:rPr>
        <w:t>乙</w:t>
      </w:r>
      <w:r>
        <w:rPr>
          <w:rFonts w:hint="eastAsia" w:ascii="宋体" w:hAnsi="宋体"/>
          <w:color w:val="000000"/>
          <w:sz w:val="24"/>
        </w:rPr>
        <w:t>方由于自身的原因未能按期履行完合同，</w:t>
      </w:r>
      <w:r>
        <w:rPr>
          <w:rFonts w:hint="eastAsia" w:ascii="宋体" w:hAnsi="宋体"/>
          <w:color w:val="000000"/>
          <w:sz w:val="24"/>
          <w:lang w:eastAsia="zh-CN"/>
        </w:rPr>
        <w:t>甲方有权终止合同。乙</w:t>
      </w:r>
      <w:r>
        <w:rPr>
          <w:rFonts w:hint="eastAsia" w:ascii="宋体" w:hAnsi="宋体"/>
          <w:color w:val="000000"/>
          <w:sz w:val="24"/>
        </w:rPr>
        <w:t>方在履行合同过程中，如果遇到不能按时交货情况，应及时以书面形式将不能按期履行合同的理由、延误的时间通知</w:t>
      </w:r>
      <w:r>
        <w:rPr>
          <w:rFonts w:hint="eastAsia" w:ascii="宋体" w:hAnsi="宋体"/>
          <w:color w:val="000000"/>
          <w:sz w:val="24"/>
          <w:lang w:eastAsia="zh-CN"/>
        </w:rPr>
        <w:t>甲</w:t>
      </w:r>
      <w:r>
        <w:rPr>
          <w:rFonts w:hint="eastAsia" w:ascii="宋体" w:hAnsi="宋体"/>
          <w:color w:val="000000"/>
          <w:sz w:val="24"/>
        </w:rPr>
        <w:t>方。</w:t>
      </w:r>
      <w:r>
        <w:rPr>
          <w:rFonts w:hint="eastAsia" w:ascii="宋体" w:hAnsi="宋体"/>
          <w:color w:val="000000"/>
          <w:sz w:val="24"/>
          <w:lang w:eastAsia="zh-CN"/>
        </w:rPr>
        <w:t>甲</w:t>
      </w:r>
      <w:r>
        <w:rPr>
          <w:rFonts w:hint="eastAsia" w:ascii="宋体" w:hAnsi="宋体"/>
          <w:color w:val="000000"/>
          <w:sz w:val="24"/>
        </w:rPr>
        <w:t>方在收到</w:t>
      </w:r>
      <w:r>
        <w:rPr>
          <w:rFonts w:hint="eastAsia" w:ascii="宋体" w:hAnsi="宋体"/>
          <w:color w:val="000000"/>
          <w:sz w:val="24"/>
          <w:lang w:eastAsia="zh-CN"/>
        </w:rPr>
        <w:t>乙</w:t>
      </w:r>
      <w:r>
        <w:rPr>
          <w:rFonts w:hint="eastAsia" w:ascii="宋体" w:hAnsi="宋体"/>
          <w:color w:val="000000"/>
          <w:sz w:val="24"/>
        </w:rPr>
        <w:t>方通知后，有权决定是否延长合同的履行时间或终止合同。如</w:t>
      </w:r>
      <w:r>
        <w:rPr>
          <w:rFonts w:hint="eastAsia" w:ascii="宋体" w:hAnsi="宋体"/>
          <w:color w:val="000000"/>
          <w:sz w:val="24"/>
          <w:lang w:eastAsia="zh-CN"/>
        </w:rPr>
        <w:t>甲</w:t>
      </w:r>
      <w:r>
        <w:rPr>
          <w:rFonts w:hint="eastAsia" w:ascii="宋体" w:hAnsi="宋体"/>
          <w:color w:val="000000"/>
          <w:sz w:val="24"/>
        </w:rPr>
        <w:t>方终止合同，</w:t>
      </w:r>
      <w:r>
        <w:rPr>
          <w:rFonts w:hint="eastAsia" w:ascii="宋体" w:hAnsi="宋体"/>
          <w:color w:val="000000"/>
          <w:sz w:val="24"/>
          <w:lang w:eastAsia="zh-CN"/>
        </w:rPr>
        <w:t>乙</w:t>
      </w:r>
      <w:r>
        <w:rPr>
          <w:rFonts w:hint="eastAsia" w:ascii="宋体" w:hAnsi="宋体"/>
          <w:color w:val="000000"/>
          <w:sz w:val="24"/>
        </w:rPr>
        <w:t>方不得要求</w:t>
      </w:r>
      <w:r>
        <w:rPr>
          <w:rFonts w:hint="eastAsia" w:ascii="宋体" w:hAnsi="宋体"/>
          <w:color w:val="000000"/>
          <w:sz w:val="24"/>
          <w:lang w:eastAsia="zh-CN"/>
        </w:rPr>
        <w:t>甲</w:t>
      </w:r>
      <w:r>
        <w:rPr>
          <w:rFonts w:hint="eastAsia" w:ascii="宋体" w:hAnsi="宋体"/>
          <w:color w:val="000000"/>
          <w:sz w:val="24"/>
        </w:rPr>
        <w:t>方</w:t>
      </w:r>
      <w:r>
        <w:rPr>
          <w:rFonts w:hint="eastAsia" w:ascii="宋体" w:hAnsi="宋体"/>
          <w:color w:val="000000"/>
          <w:sz w:val="24"/>
          <w:lang w:eastAsia="zh-CN"/>
        </w:rPr>
        <w:t>赔偿任何损失</w:t>
      </w:r>
      <w:r>
        <w:rPr>
          <w:rFonts w:hint="eastAsia" w:ascii="宋体" w:hAnsi="宋体"/>
          <w:color w:val="000000"/>
          <w:sz w:val="24"/>
        </w:rPr>
        <w:t>；如</w:t>
      </w:r>
      <w:r>
        <w:rPr>
          <w:rFonts w:hint="eastAsia" w:ascii="宋体" w:hAnsi="宋体"/>
          <w:color w:val="000000"/>
          <w:sz w:val="24"/>
          <w:lang w:eastAsia="zh-CN"/>
        </w:rPr>
        <w:t>甲</w:t>
      </w:r>
      <w:r>
        <w:rPr>
          <w:rFonts w:hint="eastAsia" w:ascii="宋体" w:hAnsi="宋体"/>
          <w:color w:val="000000"/>
          <w:sz w:val="24"/>
        </w:rPr>
        <w:t>方同意延长合同的履行时间，</w:t>
      </w:r>
      <w:r>
        <w:rPr>
          <w:rFonts w:hint="eastAsia" w:ascii="宋体" w:hAnsi="宋体"/>
          <w:color w:val="000000"/>
          <w:sz w:val="24"/>
          <w:lang w:eastAsia="zh-CN"/>
        </w:rPr>
        <w:t>乙</w:t>
      </w:r>
      <w:r>
        <w:rPr>
          <w:rFonts w:hint="eastAsia" w:ascii="宋体" w:hAnsi="宋体"/>
          <w:color w:val="000000"/>
          <w:sz w:val="24"/>
        </w:rPr>
        <w:t>方必须在</w:t>
      </w:r>
      <w:r>
        <w:rPr>
          <w:rFonts w:hint="eastAsia" w:ascii="宋体" w:hAnsi="宋体"/>
          <w:color w:val="000000"/>
          <w:sz w:val="24"/>
          <w:lang w:eastAsia="zh-CN"/>
        </w:rPr>
        <w:t>甲</w:t>
      </w:r>
      <w:r>
        <w:rPr>
          <w:rFonts w:hint="eastAsia" w:ascii="宋体" w:hAnsi="宋体"/>
          <w:color w:val="000000"/>
          <w:sz w:val="24"/>
        </w:rPr>
        <w:t>方规定的时间内提供符合质量标准的产品。如</w:t>
      </w:r>
      <w:r>
        <w:rPr>
          <w:rFonts w:hint="eastAsia" w:ascii="宋体" w:hAnsi="宋体"/>
          <w:color w:val="000000"/>
          <w:sz w:val="24"/>
          <w:lang w:eastAsia="zh-CN"/>
        </w:rPr>
        <w:t>乙</w:t>
      </w:r>
      <w:r>
        <w:rPr>
          <w:rFonts w:hint="eastAsia" w:ascii="宋体" w:hAnsi="宋体"/>
          <w:color w:val="000000"/>
          <w:sz w:val="24"/>
        </w:rPr>
        <w:t>方在</w:t>
      </w:r>
      <w:r>
        <w:rPr>
          <w:rFonts w:hint="eastAsia" w:ascii="宋体" w:hAnsi="宋体"/>
          <w:color w:val="000000"/>
          <w:sz w:val="24"/>
          <w:lang w:eastAsia="zh-CN"/>
        </w:rPr>
        <w:t>甲</w:t>
      </w:r>
      <w:r>
        <w:rPr>
          <w:rFonts w:hint="eastAsia" w:ascii="宋体" w:hAnsi="宋体"/>
          <w:color w:val="000000"/>
          <w:sz w:val="24"/>
        </w:rPr>
        <w:t>方规定的时间内未能提供符合质量标准的产品，</w:t>
      </w:r>
      <w:r>
        <w:rPr>
          <w:rFonts w:hint="eastAsia" w:ascii="宋体" w:hAnsi="宋体"/>
          <w:color w:val="000000"/>
          <w:sz w:val="24"/>
          <w:lang w:eastAsia="zh-CN"/>
        </w:rPr>
        <w:t>甲</w:t>
      </w:r>
      <w:r>
        <w:rPr>
          <w:rFonts w:hint="eastAsia" w:ascii="宋体" w:hAnsi="宋体"/>
          <w:color w:val="000000"/>
          <w:sz w:val="24"/>
        </w:rPr>
        <w:t>方有权终止合同</w:t>
      </w:r>
      <w:r>
        <w:rPr>
          <w:rFonts w:hint="eastAsia" w:ascii="宋体" w:hAnsi="宋体"/>
          <w:color w:val="000000"/>
          <w:sz w:val="24"/>
          <w:lang w:eastAsia="zh-CN"/>
        </w:rPr>
        <w:t>。</w:t>
      </w:r>
    </w:p>
    <w:p>
      <w:pPr>
        <w:spacing w:line="36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lang w:eastAsia="zh-CN"/>
        </w:rPr>
        <w:t>乙</w:t>
      </w:r>
      <w:r>
        <w:rPr>
          <w:rFonts w:hint="eastAsia" w:ascii="宋体" w:hAnsi="宋体"/>
          <w:color w:val="000000"/>
          <w:sz w:val="24"/>
        </w:rPr>
        <w:t>方交货不符合合同质量标准，</w:t>
      </w:r>
      <w:r>
        <w:rPr>
          <w:rFonts w:hint="eastAsia" w:ascii="宋体" w:hAnsi="宋体"/>
          <w:color w:val="000000"/>
          <w:sz w:val="24"/>
          <w:lang w:eastAsia="zh-CN"/>
        </w:rPr>
        <w:t>乙</w:t>
      </w:r>
      <w:r>
        <w:rPr>
          <w:rFonts w:hint="eastAsia" w:ascii="宋体" w:hAnsi="宋体"/>
          <w:color w:val="000000"/>
          <w:sz w:val="24"/>
        </w:rPr>
        <w:t>方必须重新提供符合质量标准的产品，由此造成的误期</w:t>
      </w:r>
      <w:r>
        <w:rPr>
          <w:rFonts w:hint="eastAsia" w:ascii="宋体" w:hAnsi="宋体"/>
          <w:color w:val="000000"/>
          <w:sz w:val="24"/>
          <w:lang w:eastAsia="zh-CN"/>
        </w:rPr>
        <w:t>损失费由乙方承担</w:t>
      </w:r>
      <w:r>
        <w:rPr>
          <w:rFonts w:hint="eastAsia" w:ascii="宋体" w:hAnsi="宋体"/>
          <w:color w:val="000000"/>
          <w:sz w:val="24"/>
        </w:rPr>
        <w:t>。如</w:t>
      </w:r>
      <w:r>
        <w:rPr>
          <w:rFonts w:hint="eastAsia" w:ascii="宋体" w:hAnsi="宋体"/>
          <w:color w:val="000000"/>
          <w:sz w:val="24"/>
          <w:lang w:eastAsia="zh-CN"/>
        </w:rPr>
        <w:t>乙</w:t>
      </w:r>
      <w:r>
        <w:rPr>
          <w:rFonts w:hint="eastAsia" w:ascii="宋体" w:hAnsi="宋体"/>
          <w:color w:val="000000"/>
          <w:sz w:val="24"/>
        </w:rPr>
        <w:t>方在</w:t>
      </w:r>
      <w:r>
        <w:rPr>
          <w:rFonts w:hint="eastAsia" w:ascii="宋体" w:hAnsi="宋体"/>
          <w:color w:val="000000"/>
          <w:sz w:val="24"/>
          <w:lang w:eastAsia="zh-CN"/>
        </w:rPr>
        <w:t>甲</w:t>
      </w:r>
      <w:r>
        <w:rPr>
          <w:rFonts w:hint="eastAsia" w:ascii="宋体" w:hAnsi="宋体"/>
          <w:color w:val="000000"/>
          <w:sz w:val="24"/>
        </w:rPr>
        <w:t>方规定的时间内未能提供符合质量标准的产品，</w:t>
      </w:r>
      <w:r>
        <w:rPr>
          <w:rFonts w:hint="eastAsia" w:ascii="宋体" w:hAnsi="宋体"/>
          <w:color w:val="000000"/>
          <w:sz w:val="24"/>
          <w:lang w:eastAsia="zh-CN"/>
        </w:rPr>
        <w:t>甲</w:t>
      </w:r>
      <w:r>
        <w:rPr>
          <w:rFonts w:hint="eastAsia" w:ascii="宋体" w:hAnsi="宋体"/>
          <w:color w:val="000000"/>
          <w:sz w:val="24"/>
        </w:rPr>
        <w:t>方有权终止合同，将</w:t>
      </w:r>
      <w:r>
        <w:rPr>
          <w:rFonts w:hint="eastAsia" w:ascii="宋体" w:hAnsi="宋体"/>
          <w:color w:val="000000"/>
          <w:sz w:val="24"/>
          <w:lang w:eastAsia="zh-CN"/>
        </w:rPr>
        <w:t>乙</w:t>
      </w:r>
      <w:r>
        <w:rPr>
          <w:rFonts w:hint="eastAsia" w:ascii="宋体" w:hAnsi="宋体"/>
          <w:color w:val="000000"/>
          <w:sz w:val="24"/>
        </w:rPr>
        <w:t>方列入</w:t>
      </w:r>
      <w:r>
        <w:rPr>
          <w:rFonts w:hint="eastAsia" w:ascii="宋体" w:hAnsi="宋体"/>
          <w:color w:val="000000"/>
          <w:sz w:val="24"/>
          <w:lang w:eastAsia="zh-CN"/>
        </w:rPr>
        <w:t>郎溪县中医院</w:t>
      </w:r>
      <w:r>
        <w:rPr>
          <w:rFonts w:hint="eastAsia" w:ascii="宋体" w:hAnsi="宋体"/>
          <w:color w:val="000000"/>
          <w:sz w:val="24"/>
        </w:rPr>
        <w:t>不良行为记录名单，在三年内禁止参加</w:t>
      </w:r>
      <w:r>
        <w:rPr>
          <w:rFonts w:hint="eastAsia" w:ascii="宋体" w:hAnsi="宋体"/>
          <w:color w:val="000000"/>
          <w:sz w:val="24"/>
          <w:lang w:eastAsia="zh-CN"/>
        </w:rPr>
        <w:t>我院</w:t>
      </w:r>
      <w:r>
        <w:rPr>
          <w:rFonts w:hint="eastAsia" w:ascii="宋体" w:hAnsi="宋体"/>
          <w:color w:val="000000"/>
          <w:sz w:val="24"/>
        </w:rPr>
        <w:t>采购活动。</w:t>
      </w:r>
    </w:p>
    <w:p>
      <w:pPr>
        <w:spacing w:line="360" w:lineRule="auto"/>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lang w:eastAsia="zh-CN"/>
        </w:rPr>
        <w:t>乙</w:t>
      </w:r>
      <w:r>
        <w:rPr>
          <w:rFonts w:hint="eastAsia" w:ascii="宋体" w:hAnsi="宋体"/>
          <w:color w:val="000000"/>
          <w:sz w:val="24"/>
        </w:rPr>
        <w:t>方将合同转包，提供假冒伪劣产品，擅自变更、中止或者终止合同的，</w:t>
      </w:r>
      <w:r>
        <w:rPr>
          <w:rFonts w:hint="eastAsia" w:ascii="宋体" w:hAnsi="宋体"/>
          <w:color w:val="000000"/>
          <w:sz w:val="24"/>
          <w:lang w:eastAsia="zh-CN"/>
        </w:rPr>
        <w:t>甲</w:t>
      </w:r>
      <w:r>
        <w:rPr>
          <w:rFonts w:hint="eastAsia" w:ascii="宋体" w:hAnsi="宋体"/>
          <w:color w:val="000000"/>
          <w:sz w:val="24"/>
        </w:rPr>
        <w:t>方有</w:t>
      </w:r>
      <w:r>
        <w:rPr>
          <w:rFonts w:ascii="宋体" w:hAnsi="宋体"/>
          <w:color w:val="000000"/>
          <w:sz w:val="24"/>
        </w:rPr>
        <w:t>权终止合同，</w:t>
      </w:r>
      <w:r>
        <w:rPr>
          <w:rFonts w:hint="eastAsia" w:ascii="宋体" w:hAnsi="宋体"/>
          <w:color w:val="000000"/>
          <w:sz w:val="24"/>
        </w:rPr>
        <w:t>在三年内禁止参加</w:t>
      </w:r>
      <w:r>
        <w:rPr>
          <w:rFonts w:hint="eastAsia" w:ascii="宋体" w:hAnsi="宋体"/>
          <w:color w:val="000000"/>
          <w:sz w:val="24"/>
          <w:lang w:eastAsia="zh-CN"/>
        </w:rPr>
        <w:t>我院</w:t>
      </w:r>
      <w:r>
        <w:rPr>
          <w:rFonts w:hint="eastAsia" w:ascii="宋体" w:hAnsi="宋体"/>
          <w:color w:val="000000"/>
          <w:sz w:val="24"/>
        </w:rPr>
        <w:t>采购活动。</w:t>
      </w:r>
    </w:p>
    <w:p>
      <w:pPr>
        <w:spacing w:line="360" w:lineRule="auto"/>
        <w:rPr>
          <w:rFonts w:ascii="宋体" w:hAnsi="宋体"/>
          <w:b/>
          <w:bCs/>
          <w:color w:val="000000"/>
          <w:sz w:val="24"/>
        </w:rPr>
      </w:pPr>
      <w:r>
        <w:rPr>
          <w:rFonts w:hint="eastAsia" w:ascii="宋体" w:hAnsi="宋体"/>
          <w:b/>
          <w:color w:val="000000"/>
          <w:sz w:val="24"/>
          <w:lang w:eastAsia="zh-CN"/>
        </w:rPr>
        <w:t>九</w:t>
      </w:r>
      <w:r>
        <w:rPr>
          <w:rFonts w:hint="eastAsia" w:ascii="宋体" w:hAnsi="宋体"/>
          <w:b/>
          <w:color w:val="000000"/>
          <w:sz w:val="24"/>
        </w:rPr>
        <w:t>、</w:t>
      </w:r>
      <w:r>
        <w:rPr>
          <w:rFonts w:ascii="宋体" w:hAnsi="宋体"/>
          <w:b/>
          <w:color w:val="000000"/>
          <w:sz w:val="24"/>
        </w:rPr>
        <w:t>签</w:t>
      </w:r>
      <w:r>
        <w:rPr>
          <w:rFonts w:hint="eastAsia" w:ascii="宋体" w:hAnsi="宋体"/>
          <w:b/>
          <w:color w:val="000000"/>
          <w:sz w:val="24"/>
        </w:rPr>
        <w:t>约</w:t>
      </w:r>
      <w:r>
        <w:rPr>
          <w:rFonts w:ascii="宋体" w:hAnsi="宋体"/>
          <w:b/>
          <w:color w:val="000000"/>
          <w:sz w:val="24"/>
        </w:rPr>
        <w:t>地点</w:t>
      </w:r>
    </w:p>
    <w:p>
      <w:pPr>
        <w:spacing w:line="360" w:lineRule="auto"/>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lang w:eastAsia="zh-CN"/>
        </w:rPr>
        <w:t>郎溪县中医院</w:t>
      </w:r>
      <w:r>
        <w:rPr>
          <w:rFonts w:hint="eastAsia" w:ascii="宋体" w:hAnsi="宋体"/>
          <w:bCs/>
          <w:color w:val="000000"/>
          <w:sz w:val="24"/>
          <w:u w:val="single"/>
          <w:lang w:val="en-US" w:eastAsia="zh-CN"/>
        </w:rPr>
        <w:t>1</w:t>
      </w:r>
      <w:r>
        <w:rPr>
          <w:rFonts w:hint="eastAsia" w:ascii="宋体" w:hAnsi="宋体"/>
          <w:bCs/>
          <w:color w:val="000000"/>
          <w:sz w:val="24"/>
          <w:u w:val="single"/>
          <w:lang w:eastAsia="zh-CN"/>
        </w:rPr>
        <w:t>会议室</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rPr>
        <w:t>签订。</w:t>
      </w:r>
    </w:p>
    <w:p>
      <w:pPr>
        <w:spacing w:line="360" w:lineRule="auto"/>
        <w:rPr>
          <w:rFonts w:hint="eastAsia" w:ascii="宋体" w:hAnsi="宋体"/>
          <w:bCs/>
          <w:color w:val="000000"/>
          <w:sz w:val="24"/>
        </w:rPr>
      </w:pPr>
      <w:r>
        <w:rPr>
          <w:rFonts w:hint="eastAsia" w:ascii="宋体" w:hAnsi="宋体"/>
          <w:b/>
          <w:bCs/>
          <w:color w:val="000000"/>
          <w:sz w:val="24"/>
          <w:lang w:eastAsia="zh-CN"/>
        </w:rPr>
        <w:t>十</w:t>
      </w:r>
      <w:r>
        <w:rPr>
          <w:rFonts w:hint="eastAsia" w:ascii="宋体" w:hAnsi="宋体"/>
          <w:b/>
          <w:bCs/>
          <w:color w:val="000000"/>
          <w:sz w:val="24"/>
        </w:rPr>
        <w:t>、</w:t>
      </w:r>
      <w:r>
        <w:rPr>
          <w:rFonts w:hint="eastAsia" w:ascii="宋体" w:hAnsi="宋体"/>
          <w:b/>
          <w:color w:val="000000"/>
          <w:sz w:val="24"/>
        </w:rPr>
        <w:t>合同的终止</w:t>
      </w:r>
    </w:p>
    <w:p>
      <w:pPr>
        <w:adjustRightInd w:val="0"/>
        <w:snapToGrid w:val="0"/>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本合同因下列原因而终止：</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本合同正常履行完毕；</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合同双方协议终止本合同的履行；</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不可抗力事件导致本合同无法履行或履行不必要；</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olor w:val="000000"/>
          <w:sz w:val="24"/>
        </w:rPr>
        <w:t>符合本合同约定的其他终止合同的条款。</w:t>
      </w:r>
    </w:p>
    <w:p>
      <w:pPr>
        <w:adjustRightInd w:val="0"/>
        <w:snapToGrid w:val="0"/>
        <w:spacing w:line="360" w:lineRule="auto"/>
        <w:rPr>
          <w:rFonts w:hint="eastAsia" w:ascii="宋体" w:hAnsi="宋体"/>
          <w:bCs/>
          <w:color w:val="000000"/>
          <w:sz w:val="24"/>
        </w:rPr>
      </w:pPr>
      <w:r>
        <w:rPr>
          <w:rFonts w:hint="eastAsia" w:ascii="宋体" w:hAnsi="宋体"/>
          <w:color w:val="000000"/>
          <w:sz w:val="24"/>
          <w:lang w:val="en-US" w:eastAsia="zh-CN"/>
        </w:rPr>
        <w:t>2、</w:t>
      </w:r>
      <w:r>
        <w:rPr>
          <w:rFonts w:hint="eastAsia" w:ascii="宋体" w:hAnsi="宋体"/>
          <w:color w:val="000000"/>
          <w:sz w:val="24"/>
        </w:rPr>
        <w:t>对本合同终止有过错的一方应赔偿另一方因合同终止而受到的损失。对合同终止双方均无过错的，则各自承担所受到的损失。</w:t>
      </w:r>
    </w:p>
    <w:p>
      <w:pPr>
        <w:spacing w:line="360" w:lineRule="auto"/>
        <w:rPr>
          <w:rFonts w:hint="eastAsia" w:ascii="宋体" w:hAnsi="宋体"/>
          <w:b/>
          <w:color w:val="000000"/>
          <w:sz w:val="24"/>
        </w:rPr>
      </w:pPr>
      <w:r>
        <w:rPr>
          <w:rFonts w:hint="eastAsia" w:ascii="宋体" w:hAnsi="宋体"/>
          <w:b/>
          <w:bCs/>
          <w:color w:val="000000"/>
          <w:sz w:val="24"/>
        </w:rPr>
        <w:t>十</w:t>
      </w:r>
      <w:r>
        <w:rPr>
          <w:rFonts w:hint="eastAsia" w:ascii="宋体" w:hAnsi="宋体"/>
          <w:b/>
          <w:bCs/>
          <w:color w:val="000000"/>
          <w:sz w:val="24"/>
          <w:lang w:eastAsia="zh-CN"/>
        </w:rPr>
        <w:t>一</w:t>
      </w:r>
      <w:r>
        <w:rPr>
          <w:rFonts w:hint="eastAsia" w:ascii="宋体" w:hAnsi="宋体"/>
          <w:b/>
          <w:bCs/>
          <w:color w:val="000000"/>
          <w:sz w:val="24"/>
        </w:rPr>
        <w:t>、</w:t>
      </w:r>
      <w:r>
        <w:rPr>
          <w:rFonts w:hint="eastAsia" w:ascii="宋体" w:hAnsi="宋体"/>
          <w:b/>
          <w:color w:val="000000"/>
          <w:sz w:val="24"/>
        </w:rPr>
        <w:t>其他</w:t>
      </w:r>
    </w:p>
    <w:p>
      <w:pPr>
        <w:spacing w:line="360" w:lineRule="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lang w:eastAsia="zh-CN"/>
        </w:rPr>
        <w:t>甲乙</w:t>
      </w:r>
      <w:r>
        <w:rPr>
          <w:rFonts w:hint="eastAsia" w:ascii="宋体" w:hAnsi="宋体"/>
          <w:color w:val="000000"/>
          <w:sz w:val="24"/>
        </w:rPr>
        <w:t>双方必须严格按照采购文件、投标文件及有关承诺签订采购合同，不得擅自变更。合同执行期内，</w:t>
      </w:r>
      <w:r>
        <w:rPr>
          <w:rFonts w:hint="eastAsia" w:ascii="宋体" w:hAnsi="宋体"/>
          <w:color w:val="000000"/>
          <w:sz w:val="24"/>
          <w:lang w:eastAsia="zh-CN"/>
        </w:rPr>
        <w:t>甲乙</w:t>
      </w:r>
      <w:r>
        <w:rPr>
          <w:rFonts w:hint="eastAsia" w:ascii="宋体" w:hAnsi="宋体"/>
          <w:color w:val="000000"/>
          <w:sz w:val="24"/>
        </w:rPr>
        <w:t>双方均不得随意变更或解除合同。</w:t>
      </w:r>
    </w:p>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本合同执行期间，如遇不可抗力，致使合同无法履行时，</w:t>
      </w:r>
      <w:r>
        <w:rPr>
          <w:rFonts w:hint="eastAsia" w:ascii="宋体" w:hAnsi="宋体" w:cs="宋体"/>
          <w:color w:val="000000"/>
          <w:kern w:val="0"/>
          <w:sz w:val="24"/>
          <w:lang w:eastAsia="zh-CN"/>
        </w:rPr>
        <w:t>甲乙</w:t>
      </w:r>
      <w:r>
        <w:rPr>
          <w:rFonts w:hint="eastAsia" w:ascii="宋体" w:hAnsi="宋体" w:cs="宋体"/>
          <w:color w:val="000000"/>
          <w:kern w:val="0"/>
          <w:sz w:val="24"/>
        </w:rPr>
        <w:t>双方应按有关法律规定及时协商处理。</w:t>
      </w:r>
    </w:p>
    <w:p>
      <w:pPr>
        <w:spacing w:line="360" w:lineRule="auto"/>
        <w:rPr>
          <w:rFonts w:ascii="宋体" w:hAnsi="宋体"/>
          <w:b/>
          <w:bCs/>
          <w:color w:val="000000"/>
          <w:sz w:val="24"/>
        </w:rPr>
      </w:pPr>
      <w:r>
        <w:rPr>
          <w:rFonts w:hint="eastAsia" w:ascii="宋体" w:hAnsi="宋体"/>
          <w:bCs/>
          <w:color w:val="000000"/>
          <w:sz w:val="24"/>
          <w:lang w:val="en-US" w:eastAsia="zh-CN"/>
        </w:rPr>
        <w:t>3、</w:t>
      </w:r>
      <w:r>
        <w:rPr>
          <w:rFonts w:ascii="宋体" w:hAnsi="宋体"/>
          <w:bCs/>
          <w:color w:val="000000"/>
          <w:sz w:val="24"/>
        </w:rPr>
        <w:t>合同未尽事宜，</w:t>
      </w:r>
      <w:r>
        <w:rPr>
          <w:rFonts w:hint="eastAsia" w:ascii="宋体" w:hAnsi="宋体"/>
          <w:color w:val="000000"/>
          <w:sz w:val="24"/>
          <w:lang w:eastAsia="zh-CN"/>
        </w:rPr>
        <w:t>甲乙</w:t>
      </w:r>
      <w:r>
        <w:rPr>
          <w:rFonts w:hint="eastAsia" w:ascii="宋体" w:hAnsi="宋体"/>
          <w:color w:val="000000"/>
          <w:sz w:val="24"/>
        </w:rPr>
        <w:t>双方</w:t>
      </w:r>
      <w:r>
        <w:rPr>
          <w:rFonts w:ascii="宋体" w:hAnsi="宋体"/>
          <w:bCs/>
          <w:color w:val="000000"/>
          <w:sz w:val="24"/>
        </w:rPr>
        <w:t>另行签订补充协议</w:t>
      </w:r>
      <w:r>
        <w:rPr>
          <w:rFonts w:hint="eastAsia" w:ascii="宋体" w:hAnsi="宋体"/>
          <w:bCs/>
          <w:color w:val="000000"/>
          <w:sz w:val="24"/>
        </w:rPr>
        <w:t>，</w:t>
      </w:r>
      <w:r>
        <w:rPr>
          <w:rFonts w:ascii="宋体" w:hAnsi="宋体"/>
          <w:bCs/>
          <w:color w:val="000000"/>
          <w:sz w:val="24"/>
        </w:rPr>
        <w:t>补充协议是合同的组成部分。</w:t>
      </w:r>
    </w:p>
    <w:p>
      <w:pPr>
        <w:widowControl/>
        <w:spacing w:line="360" w:lineRule="auto"/>
        <w:jc w:val="left"/>
        <w:rPr>
          <w:rFonts w:hint="eastAsia" w:ascii="宋体" w:hAnsi="宋体" w:cs="宋体"/>
          <w:color w:val="FF0000"/>
          <w:kern w:val="0"/>
          <w:sz w:val="24"/>
        </w:rPr>
      </w:pPr>
      <w:r>
        <w:rPr>
          <w:rFonts w:hint="eastAsia" w:ascii="宋体" w:hAnsi="宋体" w:cs="宋体"/>
          <w:color w:val="000000"/>
          <w:kern w:val="0"/>
          <w:sz w:val="24"/>
          <w:lang w:val="en-US" w:eastAsia="zh-CN"/>
        </w:rPr>
        <w:t>4、</w:t>
      </w:r>
      <w:r>
        <w:rPr>
          <w:rFonts w:ascii="宋体" w:hAnsi="宋体" w:cs="宋体"/>
          <w:color w:val="000000"/>
          <w:kern w:val="0"/>
          <w:sz w:val="24"/>
        </w:rPr>
        <w:t>本合同如发生纠纷，</w:t>
      </w:r>
      <w:r>
        <w:rPr>
          <w:rFonts w:hint="eastAsia" w:ascii="宋体" w:hAnsi="宋体" w:cs="宋体"/>
          <w:color w:val="000000"/>
          <w:kern w:val="0"/>
          <w:sz w:val="24"/>
          <w:lang w:eastAsia="zh-CN"/>
        </w:rPr>
        <w:t>甲乙</w:t>
      </w:r>
      <w:r>
        <w:rPr>
          <w:rFonts w:ascii="宋体" w:hAnsi="宋体" w:cs="宋体"/>
          <w:color w:val="000000"/>
          <w:kern w:val="0"/>
          <w:sz w:val="24"/>
        </w:rPr>
        <w:t>双方应当及时协商解决，协商不成时，按以下</w:t>
      </w:r>
      <w:r>
        <w:rPr>
          <w:rFonts w:hint="eastAsia" w:ascii="宋体" w:hAnsi="宋体" w:cs="宋体"/>
          <w:color w:val="000000"/>
          <w:kern w:val="0"/>
          <w:sz w:val="24"/>
          <w:lang w:val="en-US" w:eastAsia="zh-CN"/>
        </w:rPr>
        <w:t>2</w:t>
      </w:r>
      <w:r>
        <w:rPr>
          <w:rFonts w:ascii="宋体" w:hAnsi="宋体" w:cs="宋体"/>
          <w:color w:val="000000"/>
          <w:kern w:val="0"/>
          <w:sz w:val="24"/>
        </w:rPr>
        <w:t>项方式处理：</w:t>
      </w:r>
      <w:r>
        <w:rPr>
          <w:rFonts w:hint="eastAsia" w:ascii="宋体" w:hAnsi="宋体" w:cs="宋体"/>
          <w:color w:val="000000"/>
          <w:kern w:val="0"/>
          <w:sz w:val="24"/>
        </w:rPr>
        <w:t>①根据《中华人民共和国仲裁法》的规定向</w:t>
      </w:r>
      <w:r>
        <w:rPr>
          <w:rFonts w:hint="eastAsia" w:ascii="宋体" w:hAnsi="宋体" w:cs="宋体"/>
          <w:color w:val="000000"/>
          <w:kern w:val="0"/>
          <w:sz w:val="24"/>
          <w:u w:val="single"/>
        </w:rPr>
        <w:t xml:space="preserve"> </w:t>
      </w:r>
      <w:r>
        <w:rPr>
          <w:rFonts w:hint="eastAsia" w:ascii="宋体" w:hAnsi="宋体" w:cs="宋体"/>
          <w:color w:val="FF0000"/>
          <w:kern w:val="0"/>
          <w:sz w:val="24"/>
          <w:u w:val="single"/>
          <w:lang w:eastAsia="zh-CN"/>
        </w:rPr>
        <w:t>仲裁委员会</w:t>
      </w:r>
      <w:r>
        <w:rPr>
          <w:rFonts w:hint="eastAsia" w:ascii="宋体" w:hAnsi="宋体" w:cs="宋体"/>
          <w:color w:val="FF0000"/>
          <w:kern w:val="0"/>
          <w:sz w:val="24"/>
          <w:u w:val="single"/>
        </w:rPr>
        <w:t xml:space="preserve">    </w:t>
      </w:r>
      <w:r>
        <w:rPr>
          <w:rFonts w:hint="eastAsia" w:ascii="宋体" w:hAnsi="宋体" w:cs="宋体"/>
          <w:color w:val="FF0000"/>
          <w:kern w:val="0"/>
          <w:sz w:val="24"/>
        </w:rPr>
        <w:t>申请仲裁。②</w:t>
      </w:r>
      <w:r>
        <w:rPr>
          <w:rFonts w:ascii="宋体" w:hAnsi="宋体" w:cs="宋体"/>
          <w:color w:val="FF0000"/>
          <w:kern w:val="0"/>
          <w:sz w:val="24"/>
        </w:rPr>
        <w:t>向</w:t>
      </w:r>
      <w:r>
        <w:rPr>
          <w:rFonts w:hint="eastAsia" w:ascii="宋体" w:hAnsi="宋体" w:cs="宋体"/>
          <w:color w:val="FF0000"/>
          <w:kern w:val="0"/>
          <w:sz w:val="24"/>
          <w:u w:val="single"/>
        </w:rPr>
        <w:t xml:space="preserve"> </w:t>
      </w:r>
      <w:r>
        <w:rPr>
          <w:rFonts w:hint="eastAsia" w:ascii="宋体" w:hAnsi="宋体" w:cs="宋体"/>
          <w:color w:val="FF0000"/>
          <w:kern w:val="0"/>
          <w:sz w:val="24"/>
          <w:u w:val="single"/>
          <w:lang w:eastAsia="zh-CN"/>
        </w:rPr>
        <w:t>甲方所在地</w:t>
      </w:r>
      <w:r>
        <w:rPr>
          <w:rFonts w:hint="eastAsia" w:ascii="宋体" w:hAnsi="宋体" w:cs="宋体"/>
          <w:color w:val="FF0000"/>
          <w:kern w:val="0"/>
          <w:sz w:val="24"/>
          <w:u w:val="single"/>
        </w:rPr>
        <w:t xml:space="preserve"> </w:t>
      </w:r>
      <w:r>
        <w:rPr>
          <w:rFonts w:ascii="宋体" w:hAnsi="宋体" w:cs="宋体"/>
          <w:color w:val="FF0000"/>
          <w:kern w:val="0"/>
          <w:sz w:val="24"/>
        </w:rPr>
        <w:t>人民法院起诉。</w:t>
      </w:r>
    </w:p>
    <w:p>
      <w:pPr>
        <w:spacing w:line="360" w:lineRule="auto"/>
        <w:rPr>
          <w:rFonts w:hint="eastAsia" w:ascii="宋体" w:hAnsi="宋体"/>
          <w:b/>
          <w:color w:val="FF0000"/>
          <w:sz w:val="24"/>
        </w:rPr>
      </w:pPr>
    </w:p>
    <w:p>
      <w:pPr>
        <w:spacing w:line="360" w:lineRule="auto"/>
        <w:ind w:firstLine="540"/>
        <w:rPr>
          <w:rFonts w:hint="eastAsia" w:ascii="宋体" w:hAnsi="宋体"/>
          <w:color w:val="000000"/>
          <w:sz w:val="24"/>
        </w:rPr>
      </w:pPr>
      <w:r>
        <w:rPr>
          <w:rFonts w:hint="eastAsia" w:ascii="宋体" w:hAnsi="宋体"/>
          <w:color w:val="000000"/>
          <w:sz w:val="24"/>
        </w:rPr>
        <w:t>本合同一式</w:t>
      </w:r>
      <w:r>
        <w:rPr>
          <w:rFonts w:hint="eastAsia" w:ascii="宋体" w:hAnsi="宋体"/>
          <w:color w:val="000000"/>
          <w:sz w:val="24"/>
          <w:u w:val="single"/>
        </w:rPr>
        <w:t xml:space="preserve">   </w:t>
      </w:r>
      <w:r>
        <w:rPr>
          <w:rFonts w:hint="eastAsia" w:ascii="宋体" w:hAnsi="宋体"/>
          <w:color w:val="000000"/>
          <w:sz w:val="24"/>
          <w:u w:val="single"/>
          <w:lang w:eastAsia="zh-CN"/>
        </w:rPr>
        <w:t>肆</w:t>
      </w:r>
      <w:r>
        <w:rPr>
          <w:rFonts w:hint="eastAsia" w:ascii="宋体" w:hAnsi="宋体"/>
          <w:color w:val="000000"/>
          <w:sz w:val="24"/>
          <w:u w:val="single"/>
        </w:rPr>
        <w:t xml:space="preserve">   </w:t>
      </w:r>
      <w:r>
        <w:rPr>
          <w:rFonts w:hint="eastAsia" w:ascii="宋体" w:hAnsi="宋体"/>
          <w:color w:val="000000"/>
          <w:sz w:val="24"/>
        </w:rPr>
        <w:t>份，自</w:t>
      </w:r>
      <w:r>
        <w:rPr>
          <w:rFonts w:hint="eastAsia" w:ascii="宋体" w:hAnsi="宋体"/>
          <w:color w:val="000000"/>
          <w:sz w:val="24"/>
          <w:lang w:eastAsia="zh-CN"/>
        </w:rPr>
        <w:t>甲乙</w:t>
      </w:r>
      <w:r>
        <w:rPr>
          <w:rFonts w:hint="eastAsia" w:ascii="宋体" w:hAnsi="宋体"/>
          <w:color w:val="000000"/>
          <w:sz w:val="24"/>
        </w:rPr>
        <w:t>双方法定代表人或委托代理人签字盖章后生效。</w:t>
      </w:r>
    </w:p>
    <w:p>
      <w:pPr>
        <w:spacing w:line="360" w:lineRule="auto"/>
        <w:ind w:firstLine="240" w:firstLineChars="100"/>
        <w:rPr>
          <w:rFonts w:hint="eastAsia" w:ascii="宋体" w:hAnsi="宋体"/>
          <w:color w:val="000000"/>
          <w:sz w:val="24"/>
        </w:rPr>
      </w:pPr>
      <w:r>
        <w:rPr>
          <w:rFonts w:hint="eastAsia" w:ascii="宋体" w:hAnsi="宋体"/>
          <w:color w:val="000000"/>
          <w:sz w:val="24"/>
          <w:lang w:eastAsia="zh-CN"/>
        </w:rPr>
        <w:t>甲</w:t>
      </w:r>
      <w:r>
        <w:rPr>
          <w:rFonts w:hint="eastAsia" w:ascii="宋体" w:hAnsi="宋体"/>
          <w:color w:val="000000"/>
          <w:sz w:val="24"/>
        </w:rPr>
        <w:t xml:space="preserve">    方：</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eastAsia="zh-CN"/>
        </w:rPr>
        <w:t>乙</w:t>
      </w:r>
      <w:r>
        <w:rPr>
          <w:rFonts w:hint="eastAsia" w:ascii="宋体" w:hAnsi="宋体"/>
          <w:color w:val="000000"/>
          <w:sz w:val="24"/>
        </w:rPr>
        <w:t xml:space="preserve">    方：</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240" w:firstLineChars="100"/>
        <w:rPr>
          <w:rFonts w:ascii="宋体" w:hAnsi="宋体"/>
          <w:color w:val="000000"/>
          <w:sz w:val="24"/>
        </w:rPr>
      </w:pPr>
      <w:r>
        <w:rPr>
          <w:rFonts w:hint="eastAsia" w:ascii="宋体" w:hAnsi="宋体"/>
          <w:color w:val="000000"/>
          <w:sz w:val="24"/>
        </w:rPr>
        <w:t>单位盖章：</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单位盖章：</w:t>
      </w:r>
    </w:p>
    <w:p>
      <w:pPr>
        <w:spacing w:line="360" w:lineRule="auto"/>
        <w:ind w:firstLine="240" w:firstLineChars="100"/>
        <w:rPr>
          <w:rFonts w:ascii="宋体" w:hAnsi="宋体"/>
          <w:color w:val="000000"/>
          <w:sz w:val="24"/>
        </w:rPr>
      </w:pPr>
      <w:r>
        <w:rPr>
          <w:rFonts w:hint="eastAsia" w:ascii="宋体" w:hAnsi="宋体"/>
          <w:color w:val="000000"/>
          <w:sz w:val="24"/>
        </w:rPr>
        <w:t>法定代表人或委托代理人：</w:t>
      </w:r>
      <w:r>
        <w:rPr>
          <w:rFonts w:ascii="宋体" w:hAnsi="宋体"/>
          <w:color w:val="000000"/>
          <w:sz w:val="24"/>
        </w:rPr>
        <w:t xml:space="preserve">             </w:t>
      </w:r>
      <w:r>
        <w:rPr>
          <w:rFonts w:hint="eastAsia" w:ascii="宋体" w:hAnsi="宋体"/>
          <w:color w:val="000000"/>
          <w:sz w:val="24"/>
        </w:rPr>
        <w:t>法定代表人或委托代理人：</w:t>
      </w:r>
    </w:p>
    <w:p>
      <w:pPr>
        <w:spacing w:line="360" w:lineRule="auto"/>
        <w:ind w:firstLine="240" w:firstLineChars="100"/>
        <w:rPr>
          <w:rFonts w:hint="eastAsia" w:ascii="宋体" w:hAnsi="宋体"/>
          <w:color w:val="000000"/>
          <w:sz w:val="24"/>
        </w:rPr>
      </w:pPr>
      <w:r>
        <w:rPr>
          <w:rFonts w:hint="eastAsia" w:ascii="宋体" w:hAnsi="宋体"/>
          <w:color w:val="000000"/>
          <w:sz w:val="24"/>
        </w:rPr>
        <w:t>日    期：                           日    期:</w:t>
      </w:r>
    </w:p>
    <w:tbl>
      <w:tblPr>
        <w:tblStyle w:val="36"/>
        <w:tblW w:w="9357" w:type="dxa"/>
        <w:tblInd w:w="-318" w:type="dxa"/>
        <w:tblLayout w:type="fixed"/>
        <w:tblCellMar>
          <w:top w:w="0" w:type="dxa"/>
          <w:left w:w="108" w:type="dxa"/>
          <w:bottom w:w="0" w:type="dxa"/>
          <w:right w:w="108" w:type="dxa"/>
        </w:tblCellMar>
      </w:tblPr>
      <w:tblGrid>
        <w:gridCol w:w="4579"/>
        <w:gridCol w:w="4778"/>
      </w:tblGrid>
      <w:tr>
        <w:tblPrEx>
          <w:tblLayout w:type="fixed"/>
          <w:tblCellMar>
            <w:top w:w="0" w:type="dxa"/>
            <w:left w:w="108" w:type="dxa"/>
            <w:bottom w:w="0" w:type="dxa"/>
            <w:right w:w="108" w:type="dxa"/>
          </w:tblCellMar>
        </w:tblPrEx>
        <w:tc>
          <w:tcPr>
            <w:tcW w:w="4579" w:type="dxa"/>
            <w:vAlign w:val="top"/>
          </w:tcPr>
          <w:p>
            <w:pPr>
              <w:widowControl/>
              <w:jc w:val="left"/>
              <w:rPr>
                <w:rFonts w:ascii="宋体" w:hAnsi="宋体" w:cs="宋体"/>
                <w:bCs/>
                <w:color w:val="000000"/>
                <w:kern w:val="0"/>
                <w:sz w:val="24"/>
              </w:rPr>
            </w:pPr>
            <w:r>
              <w:rPr>
                <w:rFonts w:hint="eastAsia" w:ascii="宋体" w:hAnsi="宋体" w:cs="宋体"/>
                <w:color w:val="000000"/>
                <w:kern w:val="0"/>
                <w:sz w:val="24"/>
              </w:rPr>
              <w:t>地址：安徽省郎溪县建平镇亭子山路99号</w:t>
            </w:r>
          </w:p>
        </w:tc>
        <w:tc>
          <w:tcPr>
            <w:tcW w:w="4778" w:type="dxa"/>
            <w:vAlign w:val="top"/>
          </w:tcPr>
          <w:p>
            <w:pPr>
              <w:widowControl/>
              <w:jc w:val="left"/>
              <w:rPr>
                <w:rFonts w:ascii="宋体" w:hAnsi="宋体" w:cs="宋体"/>
                <w:bCs/>
                <w:color w:val="000000"/>
                <w:kern w:val="0"/>
                <w:sz w:val="24"/>
              </w:rPr>
            </w:pPr>
            <w:r>
              <w:rPr>
                <w:rFonts w:hint="eastAsia" w:ascii="宋体" w:hAnsi="宋体" w:cs="宋体"/>
                <w:color w:val="000000"/>
                <w:kern w:val="0"/>
                <w:sz w:val="24"/>
              </w:rPr>
              <w:t>地址：</w:t>
            </w:r>
          </w:p>
        </w:tc>
      </w:tr>
      <w:tr>
        <w:tblPrEx>
          <w:tblLayout w:type="fixed"/>
          <w:tblCellMar>
            <w:top w:w="0" w:type="dxa"/>
            <w:left w:w="108" w:type="dxa"/>
            <w:bottom w:w="0" w:type="dxa"/>
            <w:right w:w="108" w:type="dxa"/>
          </w:tblCellMar>
        </w:tblPrEx>
        <w:trPr>
          <w:trHeight w:val="800" w:hRule="atLeast"/>
        </w:trPr>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开户银行：</w:t>
            </w:r>
            <w:r>
              <w:rPr>
                <w:rFonts w:hint="eastAsia" w:ascii="宋体" w:hAnsi="宋体" w:cs="宋体"/>
                <w:color w:val="000000"/>
                <w:kern w:val="0"/>
                <w:sz w:val="24"/>
                <w:lang w:eastAsia="zh-CN"/>
              </w:rPr>
              <w:t>安徽郎溪农商银行营业部</w:t>
            </w:r>
          </w:p>
        </w:tc>
        <w:tc>
          <w:tcPr>
            <w:tcW w:w="4778" w:type="dxa"/>
            <w:vAlign w:val="top"/>
          </w:tcPr>
          <w:p>
            <w:pPr>
              <w:widowControl/>
              <w:spacing w:before="156" w:beforeLines="50"/>
              <w:jc w:val="left"/>
              <w:rPr>
                <w:rFonts w:ascii="宋体" w:hAnsi="宋体" w:cs="宋体"/>
                <w:b/>
                <w:bCs/>
                <w:color w:val="000000"/>
                <w:kern w:val="0"/>
                <w:sz w:val="24"/>
              </w:rPr>
            </w:pPr>
            <w:r>
              <w:rPr>
                <w:rFonts w:hint="eastAsia" w:ascii="宋体" w:hAnsi="宋体" w:cs="宋体"/>
                <w:color w:val="000000"/>
                <w:kern w:val="0"/>
                <w:sz w:val="24"/>
              </w:rPr>
              <w:t>开户银行：</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账号：</w:t>
            </w:r>
            <w:r>
              <w:rPr>
                <w:rFonts w:hint="eastAsia" w:ascii="宋体" w:hAnsi="宋体" w:cs="宋体"/>
                <w:color w:val="000000"/>
                <w:kern w:val="0"/>
                <w:sz w:val="24"/>
                <w:lang w:val="en-US" w:eastAsia="zh-CN"/>
              </w:rPr>
              <w:t>20000096499510300000018</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账号：</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hint="default" w:ascii="宋体" w:hAnsi="宋体" w:eastAsia="宋体" w:cs="宋体"/>
                <w:b/>
                <w:bCs/>
                <w:color w:val="000000"/>
                <w:kern w:val="0"/>
                <w:sz w:val="24"/>
                <w:lang w:val="en-US" w:eastAsia="zh-CN"/>
              </w:rPr>
            </w:pPr>
            <w:r>
              <w:rPr>
                <w:rFonts w:hint="eastAsia" w:ascii="宋体" w:hAnsi="宋体" w:cs="宋体"/>
                <w:color w:val="000000"/>
                <w:kern w:val="0"/>
                <w:sz w:val="24"/>
              </w:rPr>
              <w:t>电话：0563-7015</w:t>
            </w:r>
            <w:r>
              <w:rPr>
                <w:rFonts w:hint="eastAsia" w:ascii="宋体" w:hAnsi="宋体" w:cs="宋体"/>
                <w:color w:val="000000"/>
                <w:kern w:val="0"/>
                <w:sz w:val="24"/>
                <w:lang w:val="en-US" w:eastAsia="zh-CN"/>
              </w:rPr>
              <w:t>788</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电话：</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hint="default" w:ascii="宋体" w:hAnsi="宋体" w:eastAsia="宋体" w:cs="宋体"/>
                <w:b/>
                <w:bCs/>
                <w:color w:val="000000"/>
                <w:kern w:val="0"/>
                <w:sz w:val="24"/>
                <w:lang w:val="en-US" w:eastAsia="zh-CN"/>
              </w:rPr>
            </w:pPr>
            <w:r>
              <w:rPr>
                <w:rFonts w:hint="eastAsia" w:ascii="宋体" w:hAnsi="宋体" w:cs="宋体"/>
                <w:color w:val="000000"/>
                <w:kern w:val="0"/>
                <w:sz w:val="24"/>
              </w:rPr>
              <w:t>传真：</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color w:val="000000"/>
                <w:kern w:val="0"/>
                <w:sz w:val="24"/>
              </w:rPr>
              <w:t>传真：</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r>
              <w:rPr>
                <w:rFonts w:hint="eastAsia" w:ascii="宋体" w:hAnsi="宋体" w:cs="宋体"/>
                <w:kern w:val="0"/>
                <w:sz w:val="24"/>
              </w:rPr>
              <w:t>签约日期：202</w:t>
            </w:r>
            <w:r>
              <w:rPr>
                <w:rFonts w:hint="eastAsia" w:ascii="宋体" w:hAnsi="宋体" w:cs="宋体"/>
                <w:kern w:val="0"/>
                <w:sz w:val="24"/>
                <w:lang w:val="en-US" w:eastAsia="zh-CN"/>
              </w:rPr>
              <w:t>5</w:t>
            </w:r>
            <w:r>
              <w:rPr>
                <w:rFonts w:hint="eastAsia" w:ascii="宋体" w:hAnsi="宋体" w:cs="宋体"/>
                <w:kern w:val="0"/>
                <w:sz w:val="24"/>
              </w:rPr>
              <w:t>年   月  日</w:t>
            </w:r>
          </w:p>
        </w:tc>
        <w:tc>
          <w:tcPr>
            <w:tcW w:w="4778" w:type="dxa"/>
            <w:vAlign w:val="top"/>
          </w:tcPr>
          <w:p>
            <w:pPr>
              <w:widowControl/>
              <w:spacing w:line="420" w:lineRule="auto"/>
              <w:jc w:val="left"/>
              <w:rPr>
                <w:rFonts w:ascii="宋体" w:hAnsi="宋体" w:cs="宋体"/>
                <w:b/>
                <w:bCs/>
                <w:color w:val="000000"/>
                <w:kern w:val="0"/>
                <w:sz w:val="24"/>
              </w:rPr>
            </w:pPr>
            <w:r>
              <w:rPr>
                <w:rFonts w:hint="eastAsia" w:ascii="宋体" w:hAnsi="宋体" w:cs="宋体"/>
                <w:kern w:val="0"/>
                <w:sz w:val="24"/>
              </w:rPr>
              <w:t>签约日期：202</w:t>
            </w:r>
            <w:r>
              <w:rPr>
                <w:rFonts w:hint="eastAsia" w:ascii="宋体" w:hAnsi="宋体" w:cs="宋体"/>
                <w:kern w:val="0"/>
                <w:sz w:val="24"/>
                <w:lang w:val="en-US" w:eastAsia="zh-CN"/>
              </w:rPr>
              <w:t>5</w:t>
            </w:r>
            <w:r>
              <w:rPr>
                <w:rFonts w:hint="eastAsia" w:ascii="宋体" w:hAnsi="宋体" w:cs="宋体"/>
                <w:kern w:val="0"/>
                <w:sz w:val="24"/>
              </w:rPr>
              <w:t>年   月   日</w:t>
            </w: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color w:val="000000"/>
                <w:kern w:val="0"/>
                <w:sz w:val="24"/>
              </w:rPr>
            </w:pPr>
          </w:p>
        </w:tc>
        <w:tc>
          <w:tcPr>
            <w:tcW w:w="4778" w:type="dxa"/>
            <w:vAlign w:val="top"/>
          </w:tcPr>
          <w:p>
            <w:pPr>
              <w:widowControl/>
              <w:spacing w:line="420" w:lineRule="auto"/>
              <w:jc w:val="left"/>
              <w:rPr>
                <w:rFonts w:ascii="宋体" w:hAnsi="宋体" w:cs="宋体"/>
                <w:b/>
                <w:bCs/>
                <w:color w:val="000000"/>
                <w:kern w:val="0"/>
                <w:sz w:val="24"/>
              </w:rPr>
            </w:pPr>
          </w:p>
        </w:tc>
      </w:tr>
      <w:tr>
        <w:tblPrEx>
          <w:tblLayout w:type="fixed"/>
          <w:tblCellMar>
            <w:top w:w="0" w:type="dxa"/>
            <w:left w:w="108" w:type="dxa"/>
            <w:bottom w:w="0" w:type="dxa"/>
            <w:right w:w="108" w:type="dxa"/>
          </w:tblCellMar>
        </w:tblPrEx>
        <w:tc>
          <w:tcPr>
            <w:tcW w:w="4579" w:type="dxa"/>
            <w:vAlign w:val="top"/>
          </w:tcPr>
          <w:p>
            <w:pPr>
              <w:widowControl/>
              <w:spacing w:line="420" w:lineRule="auto"/>
              <w:jc w:val="left"/>
              <w:rPr>
                <w:rFonts w:ascii="宋体" w:hAnsi="宋体" w:cs="宋体"/>
                <w:b/>
                <w:bCs/>
                <w:kern w:val="0"/>
                <w:sz w:val="24"/>
              </w:rPr>
            </w:pPr>
          </w:p>
        </w:tc>
        <w:tc>
          <w:tcPr>
            <w:tcW w:w="4778" w:type="dxa"/>
            <w:vAlign w:val="top"/>
          </w:tcPr>
          <w:p>
            <w:pPr>
              <w:widowControl/>
              <w:spacing w:line="420" w:lineRule="auto"/>
              <w:jc w:val="left"/>
              <w:rPr>
                <w:rFonts w:ascii="宋体" w:hAnsi="宋体" w:cs="宋体"/>
                <w:b/>
                <w:bCs/>
                <w:kern w:val="0"/>
                <w:sz w:val="24"/>
              </w:rPr>
            </w:pPr>
          </w:p>
        </w:tc>
      </w:tr>
    </w:tbl>
    <w:p>
      <w:pPr>
        <w:pStyle w:val="4"/>
        <w:spacing w:after="0" w:line="415" w:lineRule="auto"/>
        <w:rPr>
          <w:rFonts w:ascii="仿宋" w:hAnsi="仿宋" w:eastAsia="仿宋"/>
          <w:b w:val="0"/>
          <w:color w:val="auto"/>
          <w:sz w:val="24"/>
          <w:szCs w:val="24"/>
          <w:highlight w:val="none"/>
        </w:rPr>
      </w:pPr>
      <w:r>
        <w:rPr>
          <w:rFonts w:ascii="仿宋" w:hAnsi="仿宋" w:eastAsia="仿宋"/>
          <w:b w:val="0"/>
          <w:color w:val="auto"/>
          <w:sz w:val="24"/>
          <w:szCs w:val="24"/>
          <w:highlight w:val="none"/>
        </w:rPr>
        <w:t>附件一：</w:t>
      </w:r>
      <w:r>
        <w:rPr>
          <w:rFonts w:hint="eastAsia" w:ascii="仿宋" w:hAnsi="仿宋" w:eastAsia="仿宋"/>
          <w:b w:val="0"/>
          <w:color w:val="auto"/>
          <w:sz w:val="24"/>
          <w:szCs w:val="24"/>
          <w:highlight w:val="none"/>
        </w:rPr>
        <w:t>廉洁购销合同</w:t>
      </w:r>
      <w:bookmarkEnd w:id="328"/>
    </w:p>
    <w:p>
      <w:pPr>
        <w:spacing w:line="44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廉洁购销合同</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为认真贯彻党中央、国务院治理医药购销领域商业贿赂的重要决策和部署，进一步加强医疗卫生行风建设，严肃行业纪律，进一步规范医药领域购销行为，维护正常的医疗秩序和经营秩序，根据国家卫生计生委、国家中医药管理局文件《关于印发加强医疗卫生行风建设“九不准”的通知》（国卫办发【2013】49号）和《关于建立医药购销领域商业贿赂不良记录的规定》（国卫法制发【2013】50号），经甲、乙双方同意签订廉洁购销合同并予以共同遵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一、双方应严格执行《中华人民共和国药品管理法》、《中华人民共和国反不正当竞争法》等有关法律法规以及相关政策的规定和医药购销领域治理商业贿赂的有关文件精神。</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二、业务活动必须坚持公开、公正、公平、诚信、透明的原则（除法律法规另有规定外），不得为获取不正当利益损害国家、集体和对方的利益，严格执行供应合同的规定。</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三、甲方购进药品、医疗设备、器械、耗材等产品，不得以任何方式向乙方索取回扣，或者索要、收受乙方产品发票价格外的赞助，不得要求乙方代支任何费用开支。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四、甲方工作人员不得以暗示或其他任何形式索要回扣、提成、有价证券、现金、购物卡等。如甲方工作人员暗示或索要，乙方应予拒绝，并有责任如实向甲方纪检监察部门反映。</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五、甲方工作人员不得为乙方非法统计药品、耗材销售数量等有关信息。</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六、乙方不得暗中给予甲方工作人员财物或其他利益。</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七、乙方来医院洽谈业务，必须在工作时间到甲方相关科室联系洽谈，不得到临床、门诊推销医药产品，不得借故到甲方主管领导、部门负责人及相关工作人员家中访谈。</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八、乙方在销售活动中，要自觉遵守国家和地方的相关法律、法规，严格执行合同条款，不得以次充好、降低产品质量，做到诚信经营。</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九、乙方如出现有上述违法违纪行为，一经查实，甲方有权终止合同、列入“供应商商业贿赂不良记录”，两年内不再购入其药品、医用设备和医用耗材；给医院造成经济损失的应予以赔偿；涉嫌犯罪的移交司法机关追究刑事责任。“供应商商业贿赂不良记录”在采购人、安徽省卫生计生委等网站予以公布；</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十、甲方工作人员如违反上述条款的，甲方将按国家法律法规和医院有关廉政制度规定给予处理，涉嫌违法的移交司法机关追究刑事责任。</w:t>
      </w:r>
    </w:p>
    <w:p>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十一、本廉洁合同一式肆份，甲方持叁份，乙方持壹份。自签订之日起生效。</w:t>
      </w:r>
    </w:p>
    <w:p>
      <w:pPr>
        <w:spacing w:line="300" w:lineRule="auto"/>
        <w:ind w:firstLine="480" w:firstLineChars="200"/>
        <w:rPr>
          <w:rFonts w:hint="eastAsia" w:ascii="仿宋" w:hAnsi="仿宋" w:eastAsia="仿宋"/>
          <w:color w:val="auto"/>
          <w:sz w:val="24"/>
          <w:highlight w:val="none"/>
        </w:rPr>
      </w:pP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甲方（盖章）                     乙方（盖章）</w:t>
      </w:r>
    </w:p>
    <w:p>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甲方代表：                       乙方代表：                                  </w:t>
      </w:r>
    </w:p>
    <w:p>
      <w:pPr>
        <w:spacing w:line="440" w:lineRule="exact"/>
        <w:ind w:firstLine="480" w:firstLineChars="200"/>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r>
        <w:rPr>
          <w:rFonts w:hint="eastAsia"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日</w:t>
      </w:r>
    </w:p>
    <w:p>
      <w:pPr>
        <w:tabs>
          <w:tab w:val="left" w:pos="5370"/>
          <w:tab w:val="left" w:pos="6330"/>
          <w:tab w:val="left" w:pos="7275"/>
        </w:tabs>
        <w:autoSpaceDE w:val="0"/>
        <w:autoSpaceDN w:val="0"/>
        <w:adjustRightInd w:val="0"/>
        <w:spacing w:line="440" w:lineRule="exact"/>
        <w:ind w:left="4341" w:firstLine="240" w:firstLineChars="100"/>
        <w:contextualSpacing/>
        <w:jc w:val="left"/>
        <w:rPr>
          <w:rFonts w:hint="eastAsia" w:ascii="宋体" w:hAnsi="宋体" w:eastAsia="宋体" w:cs="宋体"/>
          <w:color w:val="auto"/>
          <w:kern w:val="0"/>
          <w:position w:val="-1"/>
          <w:sz w:val="24"/>
          <w:szCs w:val="24"/>
          <w:highlight w:val="none"/>
        </w:rPr>
      </w:pPr>
    </w:p>
    <w:p>
      <w:pPr>
        <w:jc w:val="center"/>
        <w:rPr>
          <w:color w:val="auto"/>
          <w:highlight w:val="none"/>
        </w:rPr>
      </w:pPr>
    </w:p>
    <w:p>
      <w:pPr>
        <w:rPr>
          <w:color w:val="auto"/>
          <w:highlight w:val="none"/>
        </w:rPr>
      </w:pPr>
      <w:bookmarkStart w:id="329" w:name="_Toc152045610"/>
      <w:bookmarkStart w:id="330" w:name="_Toc501460777"/>
      <w:bookmarkStart w:id="331" w:name="_Toc247514197"/>
      <w:bookmarkStart w:id="332" w:name="_Toc144974578"/>
      <w:bookmarkStart w:id="333" w:name="_Toc246997081"/>
      <w:bookmarkStart w:id="334" w:name="_Toc144974829"/>
      <w:bookmarkStart w:id="335" w:name="_Toc247085853"/>
      <w:bookmarkStart w:id="336" w:name="_Toc184635122"/>
      <w:bookmarkStart w:id="337" w:name="_Toc152042549"/>
      <w:bookmarkStart w:id="338" w:name="_Toc152042388"/>
      <w:bookmarkStart w:id="339" w:name="_Toc246996338"/>
      <w:bookmarkStart w:id="340" w:name="_Toc179632787"/>
      <w:bookmarkStart w:id="341" w:name="_Toc300835199"/>
      <w:bookmarkStart w:id="342" w:name="_Toc247527798"/>
    </w:p>
    <w:p>
      <w:pPr>
        <w:rPr>
          <w:color w:val="auto"/>
          <w:highlight w:val="none"/>
        </w:rPr>
      </w:pPr>
    </w:p>
    <w:p>
      <w:pPr>
        <w:rPr>
          <w:color w:val="auto"/>
          <w:highlight w:val="none"/>
        </w:rPr>
      </w:pPr>
    </w:p>
    <w:p>
      <w:pPr>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3"/>
        <w:jc w:val="both"/>
        <w:rPr>
          <w:color w:val="auto"/>
          <w:highlight w:val="none"/>
        </w:rPr>
      </w:pPr>
      <w:bookmarkStart w:id="343" w:name="_Toc15955"/>
    </w:p>
    <w:p>
      <w:pPr>
        <w:pStyle w:val="3"/>
        <w:numPr>
          <w:ilvl w:val="0"/>
          <w:numId w:val="2"/>
        </w:numPr>
        <w:ind w:left="0" w:leftChars="0" w:firstLine="0" w:firstLineChars="0"/>
        <w:jc w:val="center"/>
        <w:rPr>
          <w:rFonts w:hint="eastAsia"/>
          <w:color w:val="auto"/>
          <w:highlight w:val="none"/>
        </w:rPr>
      </w:pPr>
      <w:r>
        <w:rPr>
          <w:rFonts w:hint="eastAsia"/>
          <w:color w:val="auto"/>
          <w:highlight w:val="none"/>
        </w:rPr>
        <w:t xml:space="preserve"> 采购需求</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Toc153397843"/>
    </w:p>
    <w:p>
      <w:pPr>
        <w:pStyle w:val="3"/>
        <w:numPr>
          <w:ilvl w:val="0"/>
          <w:numId w:val="2"/>
        </w:numPr>
        <w:ind w:left="0" w:leftChars="0" w:firstLine="0" w:firstLineChars="0"/>
        <w:jc w:val="center"/>
        <w:rPr>
          <w:rFonts w:ascii="仿宋" w:hAnsi="仿宋" w:eastAsia="仿宋"/>
          <w:color w:val="auto"/>
          <w:sz w:val="24"/>
          <w:szCs w:val="24"/>
          <w:highlight w:val="none"/>
        </w:rPr>
      </w:pPr>
      <w:r>
        <w:rPr>
          <w:rFonts w:ascii="仿宋" w:hAnsi="仿宋" w:eastAsia="仿宋"/>
          <w:color w:val="auto"/>
          <w:sz w:val="24"/>
          <w:szCs w:val="24"/>
          <w:highlight w:val="none"/>
        </w:rPr>
        <w:t>一、项目概况</w:t>
      </w:r>
      <w:bookmarkEnd w:id="344"/>
    </w:p>
    <w:p>
      <w:pPr>
        <w:spacing w:line="440" w:lineRule="exact"/>
        <w:ind w:firstLine="410" w:firstLineChars="171"/>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手持式绝缘检测仪采购项目，详见采购文件。</w:t>
      </w:r>
    </w:p>
    <w:p>
      <w:pPr>
        <w:rPr>
          <w:rFonts w:hint="eastAsia" w:ascii="仿宋" w:hAnsi="仿宋" w:eastAsia="仿宋"/>
          <w:color w:val="auto"/>
          <w:sz w:val="24"/>
          <w:highlight w:val="none"/>
        </w:rPr>
      </w:pPr>
    </w:p>
    <w:p>
      <w:pPr>
        <w:rPr>
          <w:rFonts w:ascii="仿宋" w:hAnsi="仿宋" w:eastAsia="仿宋"/>
          <w:color w:val="auto"/>
          <w:sz w:val="24"/>
          <w:highlight w:val="none"/>
        </w:rPr>
      </w:pPr>
    </w:p>
    <w:p>
      <w:pPr>
        <w:pStyle w:val="4"/>
        <w:numPr>
          <w:ilvl w:val="0"/>
          <w:numId w:val="3"/>
        </w:numPr>
        <w:spacing w:after="120" w:line="415" w:lineRule="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技术参数</w:t>
      </w:r>
    </w:p>
    <w:p>
      <w:pPr>
        <w:jc w:val="center"/>
        <w:rPr>
          <w:rFonts w:hint="eastAsia"/>
          <w:b/>
          <w:color w:val="231F20"/>
          <w:sz w:val="36"/>
          <w:szCs w:val="36"/>
          <w:highlight w:val="none"/>
        </w:rPr>
      </w:pPr>
      <w:bookmarkStart w:id="345" w:name="_Toc501460780"/>
      <w:r>
        <w:rPr>
          <w:rFonts w:hint="eastAsia"/>
          <w:b/>
          <w:color w:val="231F20"/>
          <w:sz w:val="36"/>
          <w:szCs w:val="36"/>
          <w:highlight w:val="none"/>
          <w:lang w:val="en-US" w:eastAsia="zh-CN"/>
        </w:rPr>
        <w:t>手持式绝缘检测仪</w:t>
      </w:r>
      <w:r>
        <w:rPr>
          <w:rFonts w:hint="eastAsia"/>
          <w:b/>
          <w:color w:val="231F20"/>
          <w:sz w:val="36"/>
          <w:szCs w:val="36"/>
          <w:highlight w:val="none"/>
        </w:rPr>
        <w:t>参数</w:t>
      </w:r>
    </w:p>
    <w:tbl>
      <w:tblPr>
        <w:tblStyle w:val="37"/>
        <w:tblpPr w:leftFromText="180" w:rightFromText="180" w:vertAnchor="text" w:horzAnchor="margin" w:tblpX="1" w:tblpY="43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1.功能</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对带电源手术器械进行绝缘层破损检测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2.尺寸</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lang w:eastAsia="zh-CN"/>
              </w:rPr>
              <w:t>长≤</w:t>
            </w:r>
            <w:r>
              <w:rPr>
                <w:rFonts w:hint="eastAsia" w:asciiTheme="minorEastAsia" w:hAnsiTheme="minorEastAsia"/>
                <w:color w:val="auto"/>
                <w:sz w:val="21"/>
                <w:szCs w:val="21"/>
              </w:rPr>
              <w:t>2</w:t>
            </w:r>
            <w:r>
              <w:rPr>
                <w:rFonts w:hint="eastAsia" w:asciiTheme="minorEastAsia" w:hAnsiTheme="minorEastAsia"/>
                <w:color w:val="auto"/>
                <w:sz w:val="21"/>
                <w:szCs w:val="21"/>
                <w:lang w:val="en-US" w:eastAsia="zh-CN"/>
              </w:rPr>
              <w:t>30</w:t>
            </w:r>
            <w:r>
              <w:rPr>
                <w:rFonts w:hint="eastAsia" w:asciiTheme="minorEastAsia" w:hAnsiTheme="minorEastAsia"/>
                <w:color w:val="auto"/>
                <w:sz w:val="21"/>
                <w:szCs w:val="21"/>
              </w:rPr>
              <w:t>mm</w:t>
            </w:r>
            <w:r>
              <w:rPr>
                <w:rFonts w:hint="eastAsia" w:asciiTheme="minorEastAsia" w:hAnsiTheme="minorEastAsia"/>
                <w:color w:val="auto"/>
                <w:sz w:val="21"/>
                <w:szCs w:val="21"/>
                <w:lang w:eastAsia="zh-CN"/>
              </w:rPr>
              <w:t>、宽≤</w:t>
            </w:r>
            <w:r>
              <w:rPr>
                <w:rFonts w:hint="eastAsia" w:asciiTheme="minorEastAsia" w:hAnsiTheme="minorEastAsia"/>
                <w:color w:val="auto"/>
                <w:sz w:val="21"/>
                <w:szCs w:val="21"/>
              </w:rPr>
              <w:t>90mm</w:t>
            </w:r>
            <w:r>
              <w:rPr>
                <w:rFonts w:hint="eastAsia" w:asciiTheme="minorEastAsia" w:hAnsiTheme="minorEastAsia"/>
                <w:color w:val="auto"/>
                <w:sz w:val="21"/>
                <w:szCs w:val="21"/>
                <w:lang w:eastAsia="zh-CN"/>
              </w:rPr>
              <w:t>、高≤</w:t>
            </w:r>
            <w:r>
              <w:rPr>
                <w:rFonts w:hint="eastAsia" w:asciiTheme="minorEastAsia" w:hAnsiTheme="minorEastAsia"/>
                <w:color w:val="auto"/>
                <w:sz w:val="21"/>
                <w:szCs w:val="21"/>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3.电压调节</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无档式电压调节</w:t>
            </w:r>
            <w:r>
              <w:rPr>
                <w:rFonts w:hint="eastAsia" w:ascii="宋体" w:hAnsi="宋体" w:eastAsia="宋体" w:cs="宋体"/>
                <w:color w:val="auto"/>
                <w:sz w:val="21"/>
                <w:szCs w:val="21"/>
              </w:rPr>
              <w:t>,</w:t>
            </w:r>
            <w:r>
              <w:rPr>
                <w:rFonts w:asciiTheme="minorEastAsia" w:hAnsiTheme="minorEastAsia"/>
                <w:color w:val="auto"/>
                <w:sz w:val="21"/>
                <w:szCs w:val="21"/>
              </w:rPr>
              <w:t>0～5000 V 可调输出</w:t>
            </w:r>
            <w:r>
              <w:rPr>
                <w:rFonts w:hint="eastAsia" w:asciiTheme="minorEastAsia" w:hAnsiTheme="minorEastAsia"/>
                <w:color w:val="auto"/>
                <w:sz w:val="21"/>
                <w:szCs w:val="21"/>
              </w:rPr>
              <w:t xml:space="preserve">  </w:t>
            </w:r>
            <w:r>
              <w:rPr>
                <w:rFonts w:ascii="宋体" w:hAnsi="宋体" w:eastAsia="宋体" w:cs="宋体"/>
                <w:color w:val="auto"/>
                <w:sz w:val="21"/>
                <w:szCs w:val="21"/>
              </w:rPr>
              <w:t>满足带电器械峰值电压条件下检测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06" w:type="dxa"/>
            <w:vAlign w:val="center"/>
          </w:tcPr>
          <w:p>
            <w:pPr>
              <w:jc w:val="both"/>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rPr>
              <w:t>4.电压精度★</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输出电压精度：±1%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5.检测方式</w:t>
            </w:r>
          </w:p>
        </w:tc>
        <w:tc>
          <w:tcPr>
            <w:tcW w:w="7369" w:type="dxa"/>
            <w:vAlign w:val="center"/>
          </w:tcPr>
          <w:p>
            <w:pPr>
              <w:jc w:val="both"/>
              <w:rPr>
                <w:rFonts w:asciiTheme="minorEastAsia" w:hAnsiTheme="minorEastAsia"/>
                <w:color w:val="auto"/>
                <w:sz w:val="21"/>
                <w:szCs w:val="21"/>
              </w:rPr>
            </w:pPr>
            <w:r>
              <w:rPr>
                <w:rFonts w:cs="宋体" w:asciiTheme="minorEastAsia" w:hAnsiTheme="minorEastAsia"/>
                <w:color w:val="auto"/>
                <w:sz w:val="21"/>
                <w:szCs w:val="21"/>
              </w:rPr>
              <w:t>手持式检测</w:t>
            </w:r>
            <w:r>
              <w:rPr>
                <w:rFonts w:hint="eastAsia" w:cs="宋体" w:asciiTheme="minorEastAsia" w:hAnsiTheme="minorEastAsia"/>
                <w:color w:val="auto"/>
                <w:sz w:val="21"/>
                <w:szCs w:val="21"/>
              </w:rPr>
              <w:t>，</w:t>
            </w:r>
            <w:r>
              <w:rPr>
                <w:rFonts w:cs="宋体" w:asciiTheme="minorEastAsia" w:hAnsiTheme="minorEastAsia"/>
                <w:color w:val="auto"/>
                <w:sz w:val="21"/>
                <w:szCs w:val="21"/>
              </w:rPr>
              <w:t>检测不同</w:t>
            </w:r>
            <w:r>
              <w:rPr>
                <w:rFonts w:hint="eastAsia" w:cs="宋体" w:asciiTheme="minorEastAsia" w:hAnsiTheme="minorEastAsia"/>
                <w:color w:val="auto"/>
                <w:sz w:val="21"/>
                <w:szCs w:val="21"/>
              </w:rPr>
              <w:t>规格</w:t>
            </w:r>
            <w:r>
              <w:rPr>
                <w:rFonts w:cs="宋体" w:asciiTheme="minorEastAsia" w:hAnsiTheme="minorEastAsia"/>
                <w:color w:val="auto"/>
                <w:sz w:val="21"/>
                <w:szCs w:val="21"/>
              </w:rPr>
              <w:t>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6</w:t>
            </w:r>
            <w:r>
              <w:rPr>
                <w:rFonts w:asciiTheme="minorEastAsia" w:hAnsiTheme="minorEastAsia"/>
                <w:color w:val="auto"/>
                <w:sz w:val="21"/>
                <w:szCs w:val="21"/>
              </w:rPr>
              <w:t>.</w:t>
            </w:r>
            <w:r>
              <w:rPr>
                <w:rFonts w:hint="eastAsia" w:cs="宋体" w:asciiTheme="minorEastAsia" w:hAnsiTheme="minorEastAsia"/>
                <w:color w:val="auto"/>
                <w:sz w:val="21"/>
                <w:szCs w:val="21"/>
              </w:rPr>
              <w:t>LCD屏幕</w:t>
            </w:r>
          </w:p>
        </w:tc>
        <w:tc>
          <w:tcPr>
            <w:tcW w:w="7369" w:type="dxa"/>
            <w:vAlign w:val="center"/>
          </w:tcPr>
          <w:p>
            <w:pPr>
              <w:jc w:val="both"/>
              <w:rPr>
                <w:rFonts w:cs="宋体" w:asciiTheme="minorEastAsia" w:hAnsiTheme="minorEastAsia"/>
                <w:color w:val="auto"/>
                <w:sz w:val="21"/>
                <w:szCs w:val="21"/>
              </w:rPr>
            </w:pPr>
            <w:r>
              <w:rPr>
                <w:rFonts w:hint="eastAsia" w:cs="宋体" w:asciiTheme="minorEastAsia" w:hAnsiTheme="minorEastAsia"/>
                <w:color w:val="auto"/>
                <w:sz w:val="21"/>
                <w:szCs w:val="21"/>
              </w:rPr>
              <w:t>≥3.5寸</w:t>
            </w:r>
            <w:r>
              <w:rPr>
                <w:rFonts w:cs="宋体" w:asciiTheme="minorEastAsia" w:hAnsiTheme="minorEastAsia"/>
                <w:color w:val="auto"/>
                <w:sz w:val="21"/>
                <w:szCs w:val="21"/>
              </w:rPr>
              <w:t>LCD</w:t>
            </w:r>
            <w:r>
              <w:rPr>
                <w:rFonts w:hint="eastAsia" w:cs="宋体" w:asciiTheme="minorEastAsia" w:hAnsiTheme="minorEastAsia"/>
                <w:color w:val="auto"/>
                <w:sz w:val="21"/>
                <w:szCs w:val="21"/>
              </w:rPr>
              <w:t>显示屏</w:t>
            </w:r>
          </w:p>
          <w:p>
            <w:pPr>
              <w:jc w:val="both"/>
              <w:rPr>
                <w:rFonts w:cs="宋体" w:asciiTheme="minorEastAsia" w:hAnsiTheme="minorEastAsia"/>
                <w:color w:val="auto"/>
                <w:sz w:val="21"/>
                <w:szCs w:val="21"/>
              </w:rPr>
            </w:pPr>
            <w:r>
              <w:rPr>
                <w:rFonts w:hint="eastAsia" w:cs="宋体" w:asciiTheme="minorEastAsia" w:hAnsiTheme="minorEastAsia"/>
                <w:color w:val="auto"/>
                <w:sz w:val="21"/>
                <w:szCs w:val="21"/>
              </w:rPr>
              <w:t>12点视角，方便操作者观看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7.报警方式</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声、光两种报警方式、</w:t>
            </w:r>
            <w:r>
              <w:rPr>
                <w:rFonts w:hint="eastAsia"/>
                <w:color w:val="auto"/>
              </w:rPr>
              <w:t>漏电检测提示闪烁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8.电池</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w:t>
            </w:r>
            <w:r>
              <w:rPr>
                <w:rFonts w:asciiTheme="minorEastAsia" w:hAnsiTheme="minorEastAsia"/>
                <w:color w:val="auto"/>
                <w:sz w:val="21"/>
                <w:szCs w:val="21"/>
              </w:rPr>
              <w:t>10000 mAh</w:t>
            </w:r>
            <w:r>
              <w:rPr>
                <w:rFonts w:ascii="宋体" w:hAnsi="宋体" w:eastAsia="宋体" w:cs="宋体"/>
                <w:color w:val="auto"/>
                <w:sz w:val="21"/>
                <w:szCs w:val="21"/>
              </w:rPr>
              <w:t>大容量</w:t>
            </w:r>
            <w:r>
              <w:rPr>
                <w:rFonts w:hint="eastAsia" w:ascii="宋体" w:hAnsi="宋体" w:eastAsia="宋体" w:cs="宋体"/>
                <w:color w:val="auto"/>
                <w:sz w:val="21"/>
                <w:szCs w:val="21"/>
                <w:lang w:eastAsia="zh-CN"/>
              </w:rPr>
              <w:t>，</w:t>
            </w:r>
            <w:r>
              <w:rPr>
                <w:rFonts w:ascii="宋体" w:hAnsi="宋体" w:eastAsia="宋体" w:cs="宋体"/>
                <w:color w:val="auto"/>
                <w:sz w:val="21"/>
                <w:szCs w:val="21"/>
              </w:rPr>
              <w:t>电池</w:t>
            </w:r>
            <w:r>
              <w:rPr>
                <w:rFonts w:asciiTheme="minorEastAsia" w:hAnsiTheme="minorEastAsia"/>
                <w:color w:val="auto"/>
                <w:sz w:val="21"/>
                <w:szCs w:val="21"/>
              </w:rPr>
              <w:t>工作时间：</w:t>
            </w:r>
            <w:r>
              <w:rPr>
                <w:rFonts w:hint="eastAsia" w:asciiTheme="minorEastAsia" w:hAnsiTheme="minorEastAsia"/>
                <w:color w:val="auto"/>
                <w:sz w:val="21"/>
                <w:szCs w:val="21"/>
              </w:rPr>
              <w:t>≥48</w:t>
            </w:r>
            <w:r>
              <w:rPr>
                <w:rFonts w:asciiTheme="minorEastAsia" w:hAnsiTheme="minorEastAsia"/>
                <w:color w:val="auto"/>
                <w:sz w:val="21"/>
                <w:szCs w:val="21"/>
              </w:rPr>
              <w:t xml:space="preserv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9</w:t>
            </w:r>
            <w:r>
              <w:rPr>
                <w:rFonts w:asciiTheme="minorEastAsia" w:hAnsiTheme="minorEastAsia"/>
                <w:color w:val="auto"/>
                <w:sz w:val="21"/>
                <w:szCs w:val="21"/>
              </w:rPr>
              <w:t>.</w:t>
            </w:r>
            <w:r>
              <w:rPr>
                <w:rFonts w:hint="eastAsia" w:asciiTheme="minorEastAsia" w:hAnsiTheme="minorEastAsia"/>
                <w:color w:val="auto"/>
                <w:sz w:val="21"/>
                <w:szCs w:val="21"/>
              </w:rPr>
              <w:t>自动待机</w:t>
            </w:r>
          </w:p>
        </w:tc>
        <w:tc>
          <w:tcPr>
            <w:tcW w:w="7369" w:type="dxa"/>
            <w:vAlign w:val="center"/>
          </w:tcPr>
          <w:p>
            <w:pPr>
              <w:spacing w:after="0" w:line="240" w:lineRule="auto"/>
              <w:rPr>
                <w:rFonts w:asciiTheme="minorEastAsia" w:hAnsiTheme="minorEastAsia"/>
                <w:color w:val="auto"/>
                <w:sz w:val="21"/>
                <w:szCs w:val="21"/>
              </w:rPr>
            </w:pPr>
            <w:r>
              <w:rPr>
                <w:rFonts w:ascii="宋体" w:hAnsi="宋体" w:eastAsia="宋体" w:cs="宋体"/>
                <w:color w:val="auto"/>
                <w:sz w:val="21"/>
                <w:szCs w:val="21"/>
              </w:rPr>
              <w:t>仪器在停止使用２分钟后，主动降低屏幕亮度；</w:t>
            </w:r>
            <w:r>
              <w:rPr>
                <w:rFonts w:ascii="宋体" w:hAnsi="宋体" w:eastAsia="宋体" w:cs="宋体"/>
                <w:color w:val="auto"/>
                <w:sz w:val="21"/>
                <w:szCs w:val="21"/>
              </w:rPr>
              <w:br w:type="textWrapping"/>
            </w:r>
            <w:r>
              <w:rPr>
                <w:rFonts w:ascii="宋体" w:hAnsi="宋体" w:eastAsia="宋体" w:cs="宋体"/>
                <w:color w:val="auto"/>
                <w:sz w:val="21"/>
                <w:szCs w:val="21"/>
              </w:rPr>
              <w:t>仪器在停止使用 10 分钟后，将自动进入待机休眠状态，保证电池组件较长使用寿命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06" w:type="dxa"/>
            <w:vAlign w:val="center"/>
          </w:tcPr>
          <w:p>
            <w:pPr>
              <w:jc w:val="both"/>
              <w:rPr>
                <w:rFonts w:asciiTheme="minorEastAsia" w:hAnsiTheme="minorEastAsia"/>
                <w:color w:val="auto"/>
                <w:sz w:val="21"/>
                <w:szCs w:val="21"/>
              </w:rPr>
            </w:pPr>
            <w:r>
              <w:rPr>
                <w:rFonts w:asciiTheme="minorEastAsia" w:hAnsiTheme="minorEastAsia"/>
                <w:color w:val="auto"/>
                <w:sz w:val="21"/>
                <w:szCs w:val="21"/>
              </w:rPr>
              <w:t>10</w:t>
            </w:r>
            <w:r>
              <w:rPr>
                <w:rFonts w:hint="eastAsia" w:asciiTheme="minorEastAsia" w:hAnsiTheme="minorEastAsia"/>
                <w:color w:val="auto"/>
                <w:sz w:val="21"/>
                <w:szCs w:val="21"/>
              </w:rPr>
              <w:t>.输出电流★</w:t>
            </w:r>
          </w:p>
        </w:tc>
        <w:tc>
          <w:tcPr>
            <w:tcW w:w="7369" w:type="dxa"/>
            <w:vAlign w:val="center"/>
          </w:tcPr>
          <w:p>
            <w:pPr>
              <w:jc w:val="both"/>
              <w:rPr>
                <w:rFonts w:ascii="宋体" w:hAnsi="宋体" w:eastAsia="宋体" w:cs="宋体"/>
                <w:color w:val="auto"/>
                <w:sz w:val="21"/>
                <w:szCs w:val="21"/>
              </w:rPr>
            </w:pPr>
            <w:r>
              <w:rPr>
                <w:rFonts w:ascii="宋体" w:hAnsi="宋体" w:eastAsia="宋体" w:cs="宋体"/>
                <w:color w:val="auto"/>
                <w:sz w:val="21"/>
                <w:szCs w:val="21"/>
              </w:rPr>
              <w:t>放电电流：&lt;0.1mA（检测笔末端）、（保障操作者的安全）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宋体" w:hAnsi="宋体" w:eastAsia="宋体" w:cs="宋体"/>
                <w:color w:val="auto"/>
                <w:sz w:val="21"/>
                <w:szCs w:val="21"/>
              </w:rPr>
              <w:t>11.</w:t>
            </w:r>
            <w:r>
              <w:rPr>
                <w:rFonts w:ascii="宋体" w:hAnsi="宋体" w:eastAsia="宋体" w:cs="宋体"/>
                <w:color w:val="auto"/>
                <w:sz w:val="21"/>
                <w:szCs w:val="21"/>
              </w:rPr>
              <w:t>放电保护</w:t>
            </w:r>
            <w:r>
              <w:rPr>
                <w:rFonts w:hint="eastAsia" w:ascii="宋体" w:hAnsi="宋体" w:eastAsia="宋体" w:cs="宋体"/>
                <w:color w:val="auto"/>
                <w:sz w:val="21"/>
                <w:szCs w:val="21"/>
              </w:rPr>
              <w:t>★</w:t>
            </w:r>
          </w:p>
        </w:tc>
        <w:tc>
          <w:tcPr>
            <w:tcW w:w="7369" w:type="dxa"/>
            <w:vAlign w:val="center"/>
          </w:tcPr>
          <w:p>
            <w:pPr>
              <w:jc w:val="both"/>
              <w:rPr>
                <w:rFonts w:asciiTheme="minorEastAsia" w:hAnsiTheme="minorEastAsia"/>
                <w:color w:val="auto"/>
                <w:sz w:val="21"/>
                <w:szCs w:val="21"/>
              </w:rPr>
            </w:pPr>
            <w:r>
              <w:rPr>
                <w:rFonts w:ascii="宋体" w:hAnsi="宋体" w:eastAsia="宋体" w:cs="宋体"/>
                <w:color w:val="auto"/>
                <w:sz w:val="21"/>
                <w:szCs w:val="21"/>
              </w:rPr>
              <w:t>高压放电连续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ascii="宋体" w:hAnsi="宋体" w:eastAsia="宋体" w:cs="宋体"/>
                <w:color w:val="auto"/>
                <w:sz w:val="21"/>
                <w:szCs w:val="21"/>
              </w:rPr>
              <w:t>秒钟，自动停止高压输出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12.</w:t>
            </w:r>
            <w:r>
              <w:rPr>
                <w:rFonts w:ascii="宋体" w:hAnsi="宋体" w:eastAsia="宋体" w:cs="宋体"/>
                <w:color w:val="auto"/>
                <w:sz w:val="21"/>
                <w:szCs w:val="21"/>
              </w:rPr>
              <w:t>导通电阻</w:t>
            </w:r>
            <w:r>
              <w:rPr>
                <w:rFonts w:hint="eastAsia" w:ascii="宋体" w:hAnsi="宋体" w:eastAsia="宋体" w:cs="宋体"/>
                <w:color w:val="auto"/>
                <w:sz w:val="21"/>
                <w:szCs w:val="21"/>
              </w:rPr>
              <w:t>★</w:t>
            </w:r>
          </w:p>
        </w:tc>
        <w:tc>
          <w:tcPr>
            <w:tcW w:w="7369" w:type="dxa"/>
            <w:vAlign w:val="center"/>
          </w:tcPr>
          <w:p>
            <w:pPr>
              <w:jc w:val="both"/>
              <w:rPr>
                <w:rFonts w:ascii="宋体" w:hAnsi="宋体" w:eastAsia="宋体" w:cs="宋体"/>
                <w:color w:val="auto"/>
                <w:sz w:val="21"/>
                <w:szCs w:val="21"/>
              </w:rPr>
            </w:pPr>
            <w:r>
              <w:rPr>
                <w:rFonts w:ascii="宋体" w:hAnsi="宋体" w:eastAsia="宋体" w:cs="宋体"/>
                <w:color w:val="auto"/>
                <w:sz w:val="21"/>
                <w:szCs w:val="21"/>
              </w:rPr>
              <w:t>导通电阻范围：0-1000</w:t>
            </w:r>
          </w:p>
          <w:p>
            <w:pPr>
              <w:jc w:val="both"/>
              <w:rPr>
                <w:rFonts w:ascii="宋体" w:hAnsi="宋体" w:eastAsia="宋体" w:cs="宋体"/>
                <w:color w:val="auto"/>
                <w:sz w:val="21"/>
                <w:szCs w:val="21"/>
              </w:rPr>
            </w:pPr>
            <w:r>
              <w:rPr>
                <w:rFonts w:ascii="宋体" w:hAnsi="宋体" w:eastAsia="宋体" w:cs="宋体"/>
                <w:color w:val="auto"/>
                <w:sz w:val="21"/>
                <w:szCs w:val="21"/>
              </w:rPr>
              <w:t>导通电阻精度：±2%</w:t>
            </w:r>
            <w:r>
              <w:rPr>
                <w:rFonts w:hint="eastAsia" w:ascii="宋体" w:hAnsi="宋体" w:eastAsia="宋体" w:cs="宋体"/>
                <w:color w:val="auto"/>
                <w:sz w:val="21"/>
                <w:szCs w:val="21"/>
              </w:rPr>
              <w:t>，具备导通性检测功能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13.充电时间</w:t>
            </w:r>
          </w:p>
        </w:tc>
        <w:tc>
          <w:tcPr>
            <w:tcW w:w="7369" w:type="dxa"/>
            <w:vAlign w:val="center"/>
          </w:tcPr>
          <w:p>
            <w:pPr>
              <w:jc w:val="both"/>
              <w:rPr>
                <w:rFonts w:ascii="宋体" w:hAnsi="宋体" w:eastAsia="宋体" w:cs="宋体"/>
                <w:color w:val="auto"/>
                <w:sz w:val="21"/>
                <w:szCs w:val="21"/>
              </w:rPr>
            </w:pPr>
            <w:r>
              <w:rPr>
                <w:rFonts w:hint="eastAsia" w:asciiTheme="minorEastAsia" w:hAnsiTheme="minorEastAsia"/>
                <w:color w:val="auto"/>
                <w:sz w:val="21"/>
                <w:szCs w:val="21"/>
              </w:rPr>
              <w:t>时间≤</w:t>
            </w:r>
            <w:r>
              <w:rPr>
                <w:rFonts w:hint="eastAsia" w:asciiTheme="minorEastAsia" w:hAnsiTheme="minorEastAsia"/>
                <w:color w:val="auto"/>
                <w:sz w:val="21"/>
                <w:szCs w:val="21"/>
                <w:lang w:val="en-US" w:eastAsia="zh-CN"/>
              </w:rPr>
              <w:t>6</w:t>
            </w:r>
            <w:r>
              <w:rPr>
                <w:rFonts w:hint="eastAsia" w:asciiTheme="minorEastAsia" w:hAnsiTheme="minorEastAsia"/>
                <w:color w:val="auto"/>
                <w:sz w:val="21"/>
                <w:szCs w:val="21"/>
              </w:rPr>
              <w:t>小时，过充保护,持续工作时间≧48小时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14.连接端</w:t>
            </w:r>
          </w:p>
        </w:tc>
        <w:tc>
          <w:tcPr>
            <w:tcW w:w="7369"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多规格，可连接不同直径的器械接电端口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806" w:type="dxa"/>
            <w:vAlign w:val="center"/>
          </w:tcPr>
          <w:p>
            <w:pPr>
              <w:rPr>
                <w:rFonts w:asciiTheme="minorEastAsia" w:hAnsiTheme="minorEastAsia"/>
                <w:color w:val="auto"/>
                <w:sz w:val="21"/>
                <w:szCs w:val="21"/>
              </w:rPr>
            </w:pPr>
            <w:r>
              <w:rPr>
                <w:rFonts w:hint="eastAsia" w:asciiTheme="minorEastAsia" w:hAnsiTheme="minorEastAsia"/>
                <w:color w:val="auto"/>
                <w:sz w:val="21"/>
                <w:szCs w:val="21"/>
              </w:rPr>
              <w:t xml:space="preserve">15.操作设置 </w:t>
            </w:r>
          </w:p>
        </w:tc>
        <w:tc>
          <w:tcPr>
            <w:tcW w:w="7369" w:type="dxa"/>
            <w:vAlign w:val="center"/>
          </w:tcPr>
          <w:p>
            <w:pPr>
              <w:snapToGrid w:val="0"/>
              <w:spacing w:beforeLines="20" w:afterLines="20"/>
              <w:rPr>
                <w:rFonts w:asciiTheme="minorEastAsia" w:hAnsiTheme="minorEastAsia"/>
                <w:color w:val="auto"/>
                <w:sz w:val="21"/>
                <w:szCs w:val="21"/>
              </w:rPr>
            </w:pPr>
            <w:r>
              <w:rPr>
                <w:rFonts w:asciiTheme="minorEastAsia" w:hAnsiTheme="minorEastAsia"/>
                <w:color w:val="auto"/>
                <w:sz w:val="21"/>
                <w:szCs w:val="21"/>
              </w:rPr>
              <w:t>预先设置4个常用测量电压模式，满足常规器械检测需要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rPr>
                <w:rFonts w:asciiTheme="minorEastAsia" w:hAnsiTheme="minorEastAsia"/>
                <w:color w:val="auto"/>
                <w:sz w:val="21"/>
                <w:szCs w:val="21"/>
              </w:rPr>
            </w:pPr>
            <w:r>
              <w:rPr>
                <w:rFonts w:hint="eastAsia" w:asciiTheme="minorEastAsia" w:hAnsiTheme="minorEastAsia"/>
                <w:color w:val="auto"/>
                <w:sz w:val="21"/>
                <w:szCs w:val="21"/>
              </w:rPr>
              <w:t>16.语音</w:t>
            </w:r>
          </w:p>
        </w:tc>
        <w:tc>
          <w:tcPr>
            <w:tcW w:w="7369" w:type="dxa"/>
            <w:vAlign w:val="center"/>
          </w:tcPr>
          <w:p>
            <w:pPr>
              <w:rPr>
                <w:rFonts w:asciiTheme="minorEastAsia" w:hAnsiTheme="minorEastAsia"/>
                <w:color w:val="auto"/>
                <w:sz w:val="21"/>
                <w:szCs w:val="21"/>
              </w:rPr>
            </w:pPr>
            <w:r>
              <w:rPr>
                <w:rFonts w:hint="eastAsia"/>
                <w:color w:val="auto"/>
              </w:rPr>
              <w:t>音量可调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tcPr>
          <w:p>
            <w:pPr>
              <w:rPr>
                <w:rFonts w:asciiTheme="minorEastAsia" w:hAnsiTheme="minorEastAsia"/>
                <w:color w:val="auto"/>
                <w:sz w:val="21"/>
                <w:szCs w:val="21"/>
              </w:rPr>
            </w:pPr>
            <w:r>
              <w:rPr>
                <w:rFonts w:hint="eastAsia"/>
                <w:color w:val="auto"/>
              </w:rPr>
              <w:t>17.多功能接口★</w:t>
            </w:r>
          </w:p>
        </w:tc>
        <w:tc>
          <w:tcPr>
            <w:tcW w:w="7369" w:type="dxa"/>
          </w:tcPr>
          <w:p>
            <w:pPr>
              <w:rPr>
                <w:color w:val="auto"/>
              </w:rPr>
            </w:pPr>
            <w:r>
              <w:rPr>
                <w:rFonts w:hint="eastAsia"/>
                <w:color w:val="auto"/>
              </w:rPr>
              <w:t>配备特有的针式探头和方便特殊器械的检测的多种规格探头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rPr>
                <w:color w:val="auto"/>
              </w:rPr>
            </w:pPr>
            <w:r>
              <w:rPr>
                <w:rFonts w:hint="eastAsia" w:asciiTheme="minorEastAsia" w:hAnsiTheme="minorEastAsia"/>
                <w:color w:val="auto"/>
                <w:sz w:val="21"/>
                <w:szCs w:val="21"/>
              </w:rPr>
              <w:t>18.计数</w:t>
            </w:r>
          </w:p>
        </w:tc>
        <w:tc>
          <w:tcPr>
            <w:tcW w:w="7369" w:type="dxa"/>
            <w:vAlign w:val="center"/>
          </w:tcPr>
          <w:p>
            <w:pPr>
              <w:rPr>
                <w:color w:val="auto"/>
              </w:rPr>
            </w:pPr>
            <w:r>
              <w:rPr>
                <w:rFonts w:hint="eastAsia"/>
                <w:color w:val="auto"/>
              </w:rPr>
              <w:t>漏电次数计数(打印款可打印出次数和时长)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19.环境要求</w:t>
            </w:r>
          </w:p>
        </w:tc>
        <w:tc>
          <w:tcPr>
            <w:tcW w:w="7369" w:type="dxa"/>
            <w:vAlign w:val="center"/>
          </w:tcPr>
          <w:p>
            <w:pPr>
              <w:pStyle w:val="12"/>
              <w:spacing w:before="34"/>
              <w:rPr>
                <w:color w:val="auto"/>
              </w:rPr>
            </w:pPr>
            <w:r>
              <w:rPr>
                <w:rFonts w:asciiTheme="minorEastAsia" w:hAnsiTheme="minorEastAsia" w:eastAsiaTheme="minorEastAsia"/>
                <w:color w:val="auto"/>
                <w:sz w:val="21"/>
                <w:szCs w:val="21"/>
                <w:lang w:eastAsia="zh-CN"/>
              </w:rPr>
              <w:t>温度： 10～40℃；湿度：≤90%（R.H</w:t>
            </w:r>
            <w:r>
              <w:rPr>
                <w:rFonts w:asciiTheme="minorEastAsia" w:hAnsiTheme="minorEastAsia" w:eastAsiaTheme="minorEastAsia"/>
                <w:color w:val="auto"/>
                <w:spacing w:val="-120"/>
                <w:sz w:val="21"/>
                <w:szCs w:val="21"/>
                <w:lang w:eastAsia="zh-CN"/>
              </w:rPr>
              <w:t>）</w:t>
            </w:r>
            <w:r>
              <w:rPr>
                <w:rFonts w:asciiTheme="minorEastAsia" w:hAnsiTheme="minorEastAsia" w:eastAsiaTheme="minorEastAsia"/>
                <w:color w:val="auto"/>
                <w:sz w:val="21"/>
                <w:szCs w:val="21"/>
                <w:lang w:eastAsia="zh-CN"/>
              </w:rPr>
              <w:t xml:space="preserve">；大气压力： 50KPa-106KPa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806" w:type="dxa"/>
            <w:vAlign w:val="center"/>
          </w:tcPr>
          <w:p>
            <w:pPr>
              <w:jc w:val="both"/>
              <w:rPr>
                <w:rFonts w:asciiTheme="minorEastAsia" w:hAnsiTheme="minorEastAsia"/>
                <w:color w:val="auto"/>
                <w:sz w:val="21"/>
                <w:szCs w:val="21"/>
              </w:rPr>
            </w:pPr>
            <w:r>
              <w:rPr>
                <w:rFonts w:hint="eastAsia" w:asciiTheme="minorEastAsia" w:hAnsiTheme="minorEastAsia"/>
                <w:color w:val="auto"/>
                <w:sz w:val="21"/>
                <w:szCs w:val="21"/>
              </w:rPr>
              <w:t>20.</w:t>
            </w:r>
            <w:r>
              <w:rPr>
                <w:color w:val="auto"/>
                <w:sz w:val="21"/>
                <w:szCs w:val="21"/>
              </w:rPr>
              <w:t>证书</w:t>
            </w:r>
          </w:p>
        </w:tc>
        <w:tc>
          <w:tcPr>
            <w:tcW w:w="7369" w:type="dxa"/>
            <w:vAlign w:val="center"/>
          </w:tcPr>
          <w:p>
            <w:pPr>
              <w:pStyle w:val="12"/>
              <w:spacing w:before="34"/>
              <w:rPr>
                <w:rFonts w:asciiTheme="minorEastAsia" w:hAnsiTheme="minorEastAsia" w:eastAsiaTheme="minorEastAsia"/>
                <w:color w:val="auto"/>
                <w:sz w:val="21"/>
                <w:szCs w:val="21"/>
                <w:lang w:eastAsia="zh-CN"/>
              </w:rPr>
            </w:pPr>
            <w:r>
              <w:rPr>
                <w:color w:val="auto"/>
                <w:sz w:val="21"/>
                <w:szCs w:val="21"/>
                <w:lang w:eastAsia="zh-CN"/>
              </w:rPr>
              <w:t>校准证书：关键性参数（输出电压、放电电流、放电电流）具有国内权威检测机构出具的《校准证书》</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Times New Roman"/>
          <w:color w:val="auto"/>
          <w:sz w:val="24"/>
          <w:highlight w:val="none"/>
          <w:lang w:val="en-US" w:eastAsia="zh-CN"/>
        </w:rPr>
      </w:pPr>
    </w:p>
    <w:p>
      <w:pPr>
        <w:pStyle w:val="4"/>
        <w:spacing w:after="120" w:line="415" w:lineRule="auto"/>
        <w:rPr>
          <w:rFonts w:hint="eastAsia" w:ascii="仿宋" w:hAnsi="仿宋" w:eastAsia="仿宋" w:cs="Times New Roman"/>
          <w:b/>
          <w:bCs/>
          <w:color w:val="auto"/>
          <w:sz w:val="24"/>
          <w:szCs w:val="24"/>
          <w:highlight w:val="none"/>
          <w:lang w:eastAsia="zh-CN"/>
        </w:rPr>
      </w:pPr>
      <w:r>
        <w:rPr>
          <w:rFonts w:hint="eastAsia" w:ascii="仿宋" w:hAnsi="仿宋" w:eastAsia="仿宋" w:cs="Times New Roman"/>
          <w:b/>
          <w:bCs/>
          <w:color w:val="auto"/>
          <w:sz w:val="24"/>
          <w:szCs w:val="24"/>
          <w:highlight w:val="none"/>
          <w:lang w:val="en-US" w:eastAsia="zh-CN"/>
        </w:rPr>
        <w:t>三</w:t>
      </w:r>
      <w:r>
        <w:rPr>
          <w:rFonts w:hint="eastAsia" w:ascii="仿宋" w:hAnsi="仿宋" w:eastAsia="仿宋" w:cs="Times New Roman"/>
          <w:b/>
          <w:bCs/>
          <w:color w:val="auto"/>
          <w:sz w:val="24"/>
          <w:szCs w:val="24"/>
          <w:highlight w:val="none"/>
        </w:rPr>
        <w:t>、交货地点：</w:t>
      </w:r>
      <w:r>
        <w:rPr>
          <w:rFonts w:hint="eastAsia" w:ascii="仿宋" w:hAnsi="仿宋" w:eastAsia="仿宋" w:cs="Times New Roman"/>
          <w:b/>
          <w:bCs/>
          <w:color w:val="auto"/>
          <w:sz w:val="24"/>
          <w:szCs w:val="24"/>
          <w:highlight w:val="none"/>
          <w:lang w:eastAsia="zh-CN"/>
        </w:rPr>
        <w:t>郎溪县中医院</w:t>
      </w:r>
    </w:p>
    <w:p>
      <w:pPr>
        <w:pStyle w:val="4"/>
        <w:spacing w:after="120" w:line="415"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四</w:t>
      </w:r>
      <w:r>
        <w:rPr>
          <w:rFonts w:hint="eastAsia" w:ascii="仿宋" w:hAnsi="仿宋" w:eastAsia="仿宋" w:cs="Times New Roman"/>
          <w:b/>
          <w:bCs/>
          <w:color w:val="auto"/>
          <w:sz w:val="24"/>
          <w:szCs w:val="24"/>
          <w:highlight w:val="none"/>
        </w:rPr>
        <w:t>、付款方式</w:t>
      </w:r>
    </w:p>
    <w:bookmarkEnd w:id="345"/>
    <w:p>
      <w:pPr>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采购人与中标供应商签订合同后，</w:t>
      </w:r>
      <w:r>
        <w:rPr>
          <w:rFonts w:hint="eastAsia" w:ascii="仿宋" w:hAnsi="仿宋" w:eastAsia="仿宋"/>
          <w:color w:val="auto"/>
          <w:sz w:val="24"/>
          <w:highlight w:val="none"/>
          <w:lang w:val="en-US" w:eastAsia="zh-CN"/>
        </w:rPr>
        <w:t>成交</w:t>
      </w:r>
      <w:r>
        <w:rPr>
          <w:rFonts w:hint="eastAsia" w:ascii="仿宋" w:hAnsi="仿宋" w:eastAsia="仿宋"/>
          <w:color w:val="auto"/>
          <w:sz w:val="24"/>
          <w:highlight w:val="none"/>
          <w:lang w:eastAsia="zh-CN"/>
        </w:rPr>
        <w:t>供应商完成供货、安装调试并经采购人验收合格后三个月内付清货款。</w:t>
      </w:r>
    </w:p>
    <w:p>
      <w:pPr>
        <w:pStyle w:val="4"/>
        <w:spacing w:after="120" w:line="415" w:lineRule="auto"/>
        <w:rPr>
          <w:rFonts w:hint="default" w:ascii="仿宋" w:hAnsi="仿宋" w:eastAsia="仿宋"/>
          <w:color w:val="auto"/>
          <w:sz w:val="24"/>
          <w:highlight w:val="none"/>
          <w:lang w:val="en-US" w:eastAsia="zh-CN"/>
        </w:rPr>
      </w:pPr>
      <w:bookmarkStart w:id="346" w:name="_Toc153397846"/>
      <w:bookmarkStart w:id="347" w:name="_Toc501460781"/>
      <w:r>
        <w:rPr>
          <w:rFonts w:hint="eastAsia" w:ascii="仿宋" w:hAnsi="仿宋" w:eastAsia="仿宋" w:cs="Times New Roman"/>
          <w:b/>
          <w:bCs/>
          <w:color w:val="auto"/>
          <w:sz w:val="24"/>
          <w:szCs w:val="24"/>
          <w:highlight w:val="none"/>
          <w:lang w:val="en-US" w:eastAsia="zh-CN"/>
        </w:rPr>
        <w:t>五</w:t>
      </w:r>
      <w:r>
        <w:rPr>
          <w:rFonts w:hint="eastAsia" w:ascii="仿宋" w:hAnsi="仿宋" w:eastAsia="仿宋" w:cs="Times New Roman"/>
          <w:b/>
          <w:bCs/>
          <w:color w:val="auto"/>
          <w:sz w:val="24"/>
          <w:szCs w:val="24"/>
          <w:highlight w:val="none"/>
        </w:rPr>
        <w:t>、供货要求</w:t>
      </w:r>
      <w:bookmarkEnd w:id="346"/>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所报价产品必须符合本次采购要求，所供产品必须符合国家和行业有关标准，保证原厂正品供货。</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报价包含器械、安装、调试、运费、税费、技术服务等所有费用。</w:t>
      </w:r>
    </w:p>
    <w:p>
      <w:pPr>
        <w:pStyle w:val="4"/>
        <w:spacing w:after="120" w:line="415" w:lineRule="auto"/>
        <w:rPr>
          <w:rFonts w:hint="eastAsia" w:ascii="仿宋" w:hAnsi="仿宋" w:eastAsia="仿宋"/>
          <w:color w:val="auto"/>
          <w:sz w:val="24"/>
          <w:szCs w:val="24"/>
          <w:highlight w:val="none"/>
        </w:rPr>
      </w:pPr>
      <w:bookmarkStart w:id="348" w:name="_Toc153397847"/>
      <w:r>
        <w:rPr>
          <w:rFonts w:hint="eastAsia" w:ascii="仿宋" w:hAnsi="仿宋" w:eastAsia="仿宋"/>
          <w:color w:val="auto"/>
          <w:sz w:val="24"/>
          <w:szCs w:val="24"/>
          <w:highlight w:val="none"/>
          <w:lang w:val="en-US" w:eastAsia="zh-CN"/>
        </w:rPr>
        <w:t>六</w:t>
      </w:r>
      <w:r>
        <w:rPr>
          <w:rFonts w:ascii="仿宋" w:hAnsi="仿宋" w:eastAsia="仿宋"/>
          <w:color w:val="auto"/>
          <w:sz w:val="24"/>
          <w:szCs w:val="24"/>
          <w:highlight w:val="none"/>
        </w:rPr>
        <w:t>、</w:t>
      </w:r>
      <w:r>
        <w:rPr>
          <w:rFonts w:hint="eastAsia" w:ascii="仿宋" w:hAnsi="仿宋" w:eastAsia="仿宋"/>
          <w:color w:val="auto"/>
          <w:sz w:val="24"/>
          <w:szCs w:val="24"/>
          <w:highlight w:val="none"/>
        </w:rPr>
        <w:t>验收</w:t>
      </w:r>
      <w:r>
        <w:rPr>
          <w:rFonts w:ascii="仿宋" w:hAnsi="仿宋" w:eastAsia="仿宋"/>
          <w:color w:val="auto"/>
          <w:sz w:val="24"/>
          <w:szCs w:val="24"/>
          <w:highlight w:val="none"/>
        </w:rPr>
        <w:t>要求</w:t>
      </w:r>
      <w:bookmarkEnd w:id="347"/>
      <w:bookmarkEnd w:id="348"/>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1. 采购人将按照国家标准或行业现行标准并参照采购样品的质量标准对</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供应的产品进行验收。</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2. 验收内容包括但不限于查看产品的名称、规格、产地、价格、注册证、批号、效期等。</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 经验收，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供应的产品不合格时，采购人第一时间通知</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必须无条件进行更换；如果再次验收仍不合格时，采购人有权退货直至解除供货协议，所造成的一切损失由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负责。</w:t>
      </w:r>
    </w:p>
    <w:p>
      <w:pPr>
        <w:pStyle w:val="4"/>
        <w:spacing w:after="120" w:line="415" w:lineRule="auto"/>
        <w:rPr>
          <w:rFonts w:hint="eastAsia" w:ascii="仿宋" w:hAnsi="仿宋" w:eastAsia="仿宋" w:cs="Times New Roman"/>
          <w:b/>
          <w:bCs/>
          <w:color w:val="auto"/>
          <w:sz w:val="24"/>
          <w:szCs w:val="24"/>
          <w:highlight w:val="none"/>
          <w:lang w:val="en-US" w:eastAsia="zh-CN"/>
        </w:rPr>
      </w:pPr>
      <w:bookmarkStart w:id="349" w:name="_Toc153397848"/>
      <w:bookmarkStart w:id="350" w:name="_Toc501460782"/>
      <w:r>
        <w:rPr>
          <w:rFonts w:hint="eastAsia" w:ascii="仿宋" w:hAnsi="仿宋" w:eastAsia="仿宋" w:cs="Times New Roman"/>
          <w:b/>
          <w:bCs/>
          <w:color w:val="auto"/>
          <w:sz w:val="24"/>
          <w:szCs w:val="24"/>
          <w:highlight w:val="none"/>
          <w:lang w:val="en-US" w:eastAsia="zh-CN"/>
        </w:rPr>
        <w:t>七、技术服务和其他要求</w:t>
      </w:r>
      <w:bookmarkEnd w:id="349"/>
      <w:bookmarkEnd w:id="350"/>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1.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必须具备并提供所供应产品相适应的专业指导、技术培训和售后服务，或约定由相关机构提供技术支持。</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 xml:space="preserve">2. </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对产品在保质期内的质量负责，如采购人有疑问，</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应在12小时内应答。</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3. 采购人检验或使用科室发现产品有质量问题，经核实后，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必须无条件退换，所造成的一切损失由乙方承担，采购人保留进一步追究其责任的权利。</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4. 若交货地点或收货人变更，采购人必须提前与</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协商后解决，否则，采购人承担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损失。</w:t>
      </w:r>
    </w:p>
    <w:p>
      <w:pPr>
        <w:spacing w:line="440" w:lineRule="exact"/>
        <w:ind w:firstLine="410" w:firstLineChars="171"/>
        <w:rPr>
          <w:rFonts w:hint="eastAsia" w:ascii="仿宋" w:hAnsi="仿宋" w:eastAsia="仿宋"/>
          <w:color w:val="auto"/>
          <w:sz w:val="24"/>
          <w:highlight w:val="none"/>
        </w:rPr>
      </w:pPr>
      <w:r>
        <w:rPr>
          <w:rFonts w:hint="eastAsia" w:ascii="仿宋" w:hAnsi="仿宋" w:eastAsia="仿宋"/>
          <w:color w:val="auto"/>
          <w:sz w:val="24"/>
          <w:highlight w:val="none"/>
        </w:rPr>
        <w:t>5. 凡因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所生产或经销的产品质量问题引起的医疗事故、医疗纠纷与一切后果，将由</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 xml:space="preserve">承担所有的责任。 </w:t>
      </w:r>
    </w:p>
    <w:p>
      <w:pPr>
        <w:spacing w:line="440" w:lineRule="exact"/>
        <w:ind w:firstLine="410" w:firstLineChars="171"/>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6. 合同执行期内，</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须保证采购人的正常供应需求</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且如因</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原因造成合同无法执行（不可抗力因素除外），采购人有权追究</w:t>
      </w:r>
      <w:r>
        <w:rPr>
          <w:rFonts w:hint="eastAsia" w:ascii="仿宋" w:hAnsi="仿宋" w:eastAsia="仿宋"/>
          <w:color w:val="auto"/>
          <w:sz w:val="24"/>
          <w:highlight w:val="none"/>
          <w:lang w:eastAsia="zh-CN"/>
        </w:rPr>
        <w:t>成交供应商</w:t>
      </w:r>
      <w:r>
        <w:rPr>
          <w:rFonts w:hint="eastAsia" w:ascii="仿宋" w:hAnsi="仿宋" w:eastAsia="仿宋"/>
          <w:color w:val="auto"/>
          <w:sz w:val="24"/>
          <w:highlight w:val="none"/>
        </w:rPr>
        <w:t>的相关违约责任。</w:t>
      </w:r>
    </w:p>
    <w:p>
      <w:pPr>
        <w:spacing w:line="440" w:lineRule="exact"/>
        <w:ind w:firstLine="410" w:firstLineChars="171"/>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7.保修及售后服务：</w:t>
      </w:r>
      <w:r>
        <w:rPr>
          <w:rFonts w:hint="eastAsia" w:ascii="仿宋" w:hAnsi="仿宋" w:eastAsia="仿宋"/>
          <w:color w:val="FF0000"/>
          <w:sz w:val="24"/>
          <w:highlight w:val="none"/>
        </w:rPr>
        <w:t>设备</w:t>
      </w:r>
      <w:r>
        <w:rPr>
          <w:rFonts w:hint="eastAsia" w:ascii="仿宋" w:hAnsi="仿宋" w:eastAsia="仿宋"/>
          <w:color w:val="FF0000"/>
          <w:sz w:val="24"/>
          <w:highlight w:val="none"/>
          <w:lang w:eastAsia="zh-CN"/>
        </w:rPr>
        <w:t>基础</w:t>
      </w:r>
      <w:r>
        <w:rPr>
          <w:rFonts w:hint="eastAsia" w:ascii="仿宋" w:hAnsi="仿宋" w:eastAsia="仿宋"/>
          <w:color w:val="FF0000"/>
          <w:sz w:val="24"/>
          <w:highlight w:val="none"/>
        </w:rPr>
        <w:t>保修期</w:t>
      </w:r>
      <w:r>
        <w:rPr>
          <w:rFonts w:hint="eastAsia" w:ascii="仿宋" w:hAnsi="仿宋" w:eastAsia="仿宋"/>
          <w:color w:val="FF0000"/>
          <w:sz w:val="24"/>
          <w:highlight w:val="none"/>
          <w:lang w:val="en-US" w:eastAsia="zh-CN"/>
        </w:rPr>
        <w:t>1</w:t>
      </w:r>
      <w:r>
        <w:rPr>
          <w:rFonts w:hint="eastAsia" w:ascii="仿宋" w:hAnsi="仿宋" w:eastAsia="仿宋"/>
          <w:color w:val="FF0000"/>
          <w:sz w:val="24"/>
          <w:highlight w:val="none"/>
        </w:rPr>
        <w:t>年。维护保养每年一次，终身维修服务。</w:t>
      </w:r>
      <w:r>
        <w:rPr>
          <w:rFonts w:hint="eastAsia" w:ascii="仿宋" w:hAnsi="仿宋" w:eastAsia="仿宋"/>
          <w:color w:val="auto"/>
          <w:sz w:val="24"/>
          <w:highlight w:val="none"/>
          <w:lang w:val="en-US" w:eastAsia="zh-CN"/>
        </w:rPr>
        <w:t>依据商品的保修条款及售后服务条款，提供原厂质保，质保期按照国家规定，且不低于所供品牌向用户承诺的质保期限，采购文件另有约定的从其约定。质保期从货物验收合格后算起。</w:t>
      </w:r>
    </w:p>
    <w:p>
      <w:pPr>
        <w:rPr>
          <w:rFonts w:hint="eastAsia" w:ascii="仿宋" w:hAnsi="仿宋" w:eastAsia="仿宋"/>
          <w:color w:val="auto"/>
          <w:sz w:val="24"/>
          <w:highlight w:val="none"/>
        </w:rPr>
      </w:pPr>
    </w:p>
    <w:p>
      <w:pPr>
        <w:pStyle w:val="3"/>
        <w:jc w:val="center"/>
        <w:rPr>
          <w:rFonts w:ascii="Times New Roman" w:hAnsi="Times New Roman" w:eastAsia="黑体"/>
          <w:sz w:val="28"/>
          <w:szCs w:val="28"/>
          <w:highlight w:val="none"/>
          <w:u w:val="single"/>
        </w:rPr>
      </w:pPr>
      <w:r>
        <w:rPr>
          <w:rFonts w:ascii="仿宋" w:hAnsi="仿宋" w:eastAsia="仿宋"/>
          <w:color w:val="auto"/>
          <w:kern w:val="2"/>
          <w:sz w:val="24"/>
          <w:szCs w:val="24"/>
          <w:highlight w:val="none"/>
        </w:rPr>
        <w:br w:type="page"/>
      </w:r>
      <w:bookmarkStart w:id="351" w:name="_Toc19469"/>
      <w:bookmarkStart w:id="352" w:name="_Toc421917010"/>
      <w:bookmarkStart w:id="353" w:name="_Toc460227118"/>
      <w:bookmarkStart w:id="354" w:name="_Toc390411629"/>
      <w:bookmarkStart w:id="355" w:name="_Toc460660233"/>
      <w:r>
        <w:rPr>
          <w:highlight w:val="none"/>
        </w:rPr>
        <w:t>第六章</w:t>
      </w:r>
      <w:r>
        <w:rPr>
          <w:rFonts w:hint="eastAsia"/>
          <w:highlight w:val="none"/>
        </w:rPr>
        <w:t xml:space="preserve">  响应文件</w:t>
      </w:r>
      <w:r>
        <w:rPr>
          <w:highlight w:val="none"/>
        </w:rPr>
        <w:t>格式</w:t>
      </w:r>
      <w:bookmarkEnd w:id="351"/>
    </w:p>
    <w:p>
      <w:pPr>
        <w:jc w:val="center"/>
        <w:rPr>
          <w:rFonts w:ascii="Times New Roman" w:hAnsi="Times New Roman" w:eastAsia="黑体"/>
          <w:sz w:val="28"/>
          <w:szCs w:val="28"/>
          <w:highlight w:val="none"/>
          <w:u w:val="singl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（项目名称）</w:t>
      </w:r>
    </w:p>
    <w:p>
      <w:pPr>
        <w:rPr>
          <w:rFonts w:ascii="Times New Roman" w:hAnsi="Times New Roman" w:eastAsia="黑体"/>
          <w:color w:val="000000"/>
          <w:sz w:val="20"/>
          <w:highlight w:val="none"/>
        </w:rPr>
      </w:pPr>
    </w:p>
    <w:p>
      <w:pPr>
        <w:rPr>
          <w:rFonts w:ascii="Times New Roman" w:hAnsi="Times New Roman" w:eastAsia="黑体"/>
          <w:color w:val="000000"/>
          <w:sz w:val="20"/>
          <w:highlight w:val="none"/>
        </w:rPr>
      </w:pPr>
    </w:p>
    <w:p>
      <w:pPr>
        <w:jc w:val="center"/>
        <w:rPr>
          <w:rFonts w:ascii="Times New Roman" w:hAnsi="Times New Roman" w:eastAsia="黑体"/>
          <w:color w:val="000000"/>
          <w:sz w:val="44"/>
          <w:highlight w:val="none"/>
        </w:rPr>
      </w:pPr>
      <w:r>
        <w:rPr>
          <w:rFonts w:hint="eastAsia" w:ascii="Times New Roman" w:hAnsi="Times New Roman" w:eastAsia="黑体"/>
          <w:color w:val="000000"/>
          <w:sz w:val="44"/>
          <w:highlight w:val="none"/>
        </w:rPr>
        <w:t>响应文件</w:t>
      </w:r>
    </w:p>
    <w:p>
      <w:pPr>
        <w:jc w:val="center"/>
        <w:rPr>
          <w:rFonts w:ascii="Times New Roman" w:hAnsi="Times New Roman" w:eastAsia="黑体"/>
          <w:color w:val="000000"/>
          <w:sz w:val="44"/>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rPr>
          <w:rFonts w:ascii="Times New Roman" w:hAnsi="Times New Roman" w:eastAsia="黑体"/>
          <w:color w:val="000000"/>
          <w:sz w:val="28"/>
          <w:highlight w:val="none"/>
        </w:rPr>
      </w:pPr>
    </w:p>
    <w:p>
      <w:pPr>
        <w:spacing w:line="360" w:lineRule="auto"/>
        <w:rPr>
          <w:rFonts w:ascii="Times New Roman" w:hAnsi="Times New Roman" w:eastAsia="黑体"/>
          <w:color w:val="000000"/>
          <w:sz w:val="28"/>
          <w:highlight w:val="none"/>
        </w:rPr>
      </w:pPr>
    </w:p>
    <w:p>
      <w:pPr>
        <w:spacing w:line="360" w:lineRule="auto"/>
        <w:ind w:firstLine="1120" w:firstLineChars="400"/>
        <w:rPr>
          <w:rFonts w:ascii="Times New Roman" w:hAnsi="Times New Roman" w:eastAsia="黑体"/>
          <w:color w:val="000000"/>
          <w:sz w:val="28"/>
          <w:highlight w:val="none"/>
          <w:u w:val="single"/>
        </w:rPr>
      </w:pPr>
      <w:r>
        <w:rPr>
          <w:rFonts w:hint="eastAsia" w:ascii="Times New Roman" w:hAnsi="Times New Roman" w:eastAsia="黑体"/>
          <w:color w:val="000000"/>
          <w:sz w:val="28"/>
          <w:highlight w:val="none"/>
        </w:rPr>
        <w:t>供应商</w:t>
      </w:r>
      <w:r>
        <w:rPr>
          <w:rFonts w:ascii="Times New Roman" w:hAnsi="Times New Roman" w:eastAsia="黑体"/>
          <w:color w:val="000000"/>
          <w:sz w:val="28"/>
          <w:highlight w:val="none"/>
        </w:rPr>
        <w:t>：</w:t>
      </w:r>
      <w:r>
        <w:rPr>
          <w:rFonts w:ascii="Times New Roman" w:hAnsi="Times New Roman"/>
          <w:color w:val="000000"/>
          <w:highlight w:val="none"/>
          <w:u w:val="single"/>
        </w:rPr>
        <w:t xml:space="preserve">                                           </w:t>
      </w:r>
    </w:p>
    <w:p>
      <w:pPr>
        <w:jc w:val="center"/>
        <w:rPr>
          <w:rFonts w:ascii="Times New Roman" w:hAnsi="Times New Roman" w:eastAsia="黑体"/>
          <w:color w:val="000000"/>
          <w:sz w:val="28"/>
          <w:highlight w:val="none"/>
        </w:rPr>
      </w:pPr>
    </w:p>
    <w:p>
      <w:pPr>
        <w:spacing w:line="400" w:lineRule="exact"/>
        <w:jc w:val="center"/>
        <w:rPr>
          <w:rFonts w:ascii="Times New Roman" w:hAnsi="Times New Roman"/>
          <w:color w:val="000000"/>
          <w:highlight w:val="none"/>
        </w:rPr>
      </w:pPr>
      <w:r>
        <w:rPr>
          <w:rFonts w:ascii="Times New Roman" w:hAnsi="Times New Roman"/>
          <w:color w:val="000000"/>
          <w:highlight w:val="none"/>
          <w:u w:val="single"/>
        </w:rPr>
        <w:t xml:space="preserve">       </w:t>
      </w:r>
      <w:r>
        <w:rPr>
          <w:rFonts w:ascii="Times New Roman" w:hAnsi="Times New Roman" w:eastAsia="黑体"/>
          <w:color w:val="000000"/>
          <w:sz w:val="28"/>
          <w:highlight w:val="none"/>
        </w:rPr>
        <w:t>年</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月</w:t>
      </w:r>
      <w:r>
        <w:rPr>
          <w:rFonts w:ascii="Times New Roman" w:hAnsi="Times New Roman"/>
          <w:color w:val="000000"/>
          <w:highlight w:val="none"/>
          <w:u w:val="single"/>
        </w:rPr>
        <w:t xml:space="preserve">       </w:t>
      </w:r>
      <w:r>
        <w:rPr>
          <w:rFonts w:ascii="Times New Roman" w:hAnsi="Times New Roman" w:eastAsia="黑体"/>
          <w:color w:val="000000"/>
          <w:sz w:val="28"/>
          <w:highlight w:val="none"/>
        </w:rPr>
        <w:t>日</w:t>
      </w:r>
      <w:r>
        <w:rPr>
          <w:rFonts w:ascii="Times New Roman" w:hAnsi="Times New Roman"/>
          <w:color w:val="000000"/>
          <w:highlight w:val="none"/>
        </w:rPr>
        <w:br w:type="page"/>
      </w:r>
    </w:p>
    <w:bookmarkEnd w:id="352"/>
    <w:bookmarkEnd w:id="353"/>
    <w:bookmarkEnd w:id="354"/>
    <w:bookmarkEnd w:id="355"/>
    <w:p>
      <w:pPr>
        <w:spacing w:before="240" w:beforeLines="100" w:after="240" w:afterLines="100"/>
        <w:jc w:val="center"/>
        <w:rPr>
          <w:rFonts w:hint="eastAsia" w:ascii="黑体" w:eastAsia="黑体"/>
          <w:color w:val="auto"/>
          <w:sz w:val="28"/>
          <w:szCs w:val="28"/>
          <w:highlight w:val="none"/>
        </w:rPr>
      </w:pPr>
      <w:r>
        <w:rPr>
          <w:rFonts w:hint="eastAsia" w:ascii="黑体" w:eastAsia="黑体"/>
          <w:color w:val="auto"/>
          <w:sz w:val="28"/>
          <w:szCs w:val="28"/>
          <w:highlight w:val="none"/>
        </w:rPr>
        <w:t>目  录</w:t>
      </w:r>
    </w:p>
    <w:p>
      <w:pPr>
        <w:spacing w:line="600" w:lineRule="exact"/>
        <w:rPr>
          <w:rFonts w:hint="eastAsia" w:ascii="宋体" w:hAnsi="宋体"/>
          <w:color w:val="auto"/>
          <w:szCs w:val="21"/>
          <w:highlight w:val="none"/>
        </w:rPr>
      </w:pPr>
      <w:r>
        <w:rPr>
          <w:rFonts w:hint="eastAsia" w:ascii="宋体" w:hAnsi="宋体"/>
          <w:color w:val="auto"/>
          <w:szCs w:val="21"/>
          <w:highlight w:val="none"/>
        </w:rPr>
        <w:t>一、响应函</w:t>
      </w:r>
    </w:p>
    <w:p>
      <w:pPr>
        <w:spacing w:line="600" w:lineRule="exact"/>
        <w:rPr>
          <w:rFonts w:hint="eastAsia" w:ascii="宋体" w:hAnsi="宋体"/>
          <w:color w:val="auto"/>
          <w:szCs w:val="21"/>
          <w:highlight w:val="none"/>
        </w:rPr>
      </w:pPr>
      <w:r>
        <w:rPr>
          <w:rFonts w:hint="eastAsia" w:ascii="宋体" w:hAnsi="宋体"/>
          <w:color w:val="auto"/>
          <w:szCs w:val="21"/>
          <w:highlight w:val="none"/>
        </w:rPr>
        <w:t>二、法定代表人（单位负责人）身份证明或授权委托书</w:t>
      </w:r>
    </w:p>
    <w:p>
      <w:pPr>
        <w:spacing w:line="600" w:lineRule="exact"/>
        <w:rPr>
          <w:rFonts w:hint="eastAsia" w:ascii="宋体" w:hAnsi="宋体"/>
          <w:color w:val="auto"/>
          <w:szCs w:val="21"/>
          <w:highlight w:val="none"/>
        </w:rPr>
      </w:pPr>
      <w:r>
        <w:rPr>
          <w:rFonts w:hint="eastAsia" w:ascii="宋体" w:hAnsi="宋体"/>
          <w:color w:val="auto"/>
          <w:szCs w:val="21"/>
          <w:highlight w:val="none"/>
        </w:rPr>
        <w:t>三、响应保证金</w:t>
      </w:r>
    </w:p>
    <w:p>
      <w:pPr>
        <w:spacing w:line="600" w:lineRule="exact"/>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开标一览表</w:t>
      </w:r>
      <w:r>
        <w:rPr>
          <w:rFonts w:hint="eastAsia" w:ascii="宋体" w:hAnsi="宋体"/>
          <w:color w:val="auto"/>
          <w:szCs w:val="21"/>
          <w:highlight w:val="none"/>
        </w:rPr>
        <w:t>；</w:t>
      </w:r>
    </w:p>
    <w:p>
      <w:pPr>
        <w:spacing w:line="60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、资格审查资料</w:t>
      </w:r>
    </w:p>
    <w:p>
      <w:pPr>
        <w:numPr>
          <w:ilvl w:val="0"/>
          <w:numId w:val="4"/>
        </w:numPr>
        <w:spacing w:line="600" w:lineRule="exact"/>
        <w:rPr>
          <w:rFonts w:hint="eastAsia" w:ascii="宋体" w:hAnsi="宋体"/>
          <w:color w:val="auto"/>
          <w:szCs w:val="21"/>
          <w:highlight w:val="none"/>
        </w:rPr>
      </w:pPr>
      <w:r>
        <w:rPr>
          <w:rFonts w:hint="eastAsia" w:ascii="宋体" w:hAnsi="宋体"/>
          <w:color w:val="auto"/>
          <w:szCs w:val="21"/>
          <w:highlight w:val="none"/>
        </w:rPr>
        <w:t>响应/偏离表</w:t>
      </w:r>
    </w:p>
    <w:p>
      <w:pPr>
        <w:numPr>
          <w:ilvl w:val="0"/>
          <w:numId w:val="4"/>
        </w:numPr>
        <w:spacing w:line="600" w:lineRule="exact"/>
        <w:rPr>
          <w:rFonts w:hint="eastAsia" w:ascii="宋体" w:hAnsi="宋体"/>
          <w:color w:val="auto"/>
          <w:szCs w:val="21"/>
          <w:highlight w:val="none"/>
        </w:rPr>
      </w:pPr>
      <w:r>
        <w:rPr>
          <w:rFonts w:hint="eastAsia" w:ascii="宋体" w:hAnsi="宋体"/>
          <w:color w:val="auto"/>
          <w:szCs w:val="21"/>
          <w:highlight w:val="none"/>
        </w:rPr>
        <w:t>其他资料</w:t>
      </w:r>
    </w:p>
    <w:p>
      <w:pPr>
        <w:pStyle w:val="4"/>
        <w:jc w:val="center"/>
        <w:rPr>
          <w:rFonts w:ascii="Times New Roman" w:hAnsi="Times New Roman"/>
          <w:color w:val="auto"/>
          <w:highlight w:val="none"/>
        </w:rPr>
      </w:pPr>
      <w:r>
        <w:rPr>
          <w:rFonts w:ascii="宋体"/>
          <w:color w:val="auto"/>
          <w:szCs w:val="21"/>
          <w:highlight w:val="none"/>
        </w:rPr>
        <w:br w:type="page"/>
      </w:r>
      <w:bookmarkStart w:id="356" w:name="_Toc460660223"/>
      <w:bookmarkStart w:id="357" w:name="_Toc390411621"/>
      <w:bookmarkStart w:id="358" w:name="_Toc421917001"/>
      <w:bookmarkStart w:id="359" w:name="_Toc460227108"/>
      <w:bookmarkStart w:id="360" w:name="_Toc224103496"/>
      <w:r>
        <w:rPr>
          <w:rFonts w:hint="eastAsia" w:ascii="黑体" w:hAnsi="Calibri" w:eastAsia="黑体" w:cs="Times New Roman"/>
          <w:b w:val="0"/>
          <w:color w:val="auto"/>
          <w:kern w:val="2"/>
          <w:sz w:val="28"/>
          <w:szCs w:val="20"/>
          <w:highlight w:val="none"/>
          <w:lang w:val="en-US" w:eastAsia="zh-CN" w:bidi="ar-SA"/>
        </w:rPr>
        <w:t>一、</w:t>
      </w:r>
      <w:bookmarkStart w:id="361" w:name="_Toc6931"/>
      <w:bookmarkStart w:id="362" w:name="_Toc352691656"/>
      <w:bookmarkStart w:id="363" w:name="_Toc369531692"/>
      <w:r>
        <w:rPr>
          <w:rFonts w:hint="eastAsia" w:ascii="黑体" w:hAnsi="Calibri" w:eastAsia="黑体" w:cs="Times New Roman"/>
          <w:b w:val="0"/>
          <w:color w:val="auto"/>
          <w:kern w:val="2"/>
          <w:sz w:val="28"/>
          <w:szCs w:val="20"/>
          <w:highlight w:val="none"/>
          <w:lang w:val="en-US" w:eastAsia="zh-CN" w:bidi="ar-SA"/>
        </w:rPr>
        <w:t>响应函</w:t>
      </w:r>
    </w:p>
    <w:bookmarkEnd w:id="361"/>
    <w:bookmarkEnd w:id="362"/>
    <w:bookmarkEnd w:id="363"/>
    <w:p>
      <w:pPr>
        <w:spacing w:line="440" w:lineRule="exac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采购人</w:t>
      </w:r>
      <w:r>
        <w:rPr>
          <w:rFonts w:ascii="Times New Roman" w:hAnsi="Times New Roman"/>
          <w:color w:val="auto"/>
          <w:szCs w:val="21"/>
          <w:highlight w:val="none"/>
          <w:u w:val="single"/>
        </w:rPr>
        <w:t>名称）</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ascii="Times New Roman" w:hAnsi="Times New Roman"/>
          <w:color w:val="auto"/>
          <w:highlight w:val="none"/>
          <w:u w:val="single"/>
        </w:rPr>
        <w:t xml:space="preserve">                  （项目名称）</w:t>
      </w:r>
      <w:r>
        <w:rPr>
          <w:rFonts w:hint="eastAsia" w:ascii="Times New Roman" w:hAnsi="Times New Roman"/>
          <w:color w:val="auto"/>
          <w:szCs w:val="21"/>
          <w:highlight w:val="none"/>
        </w:rPr>
        <w:t>采购文件</w:t>
      </w:r>
      <w:r>
        <w:rPr>
          <w:rFonts w:ascii="Times New Roman" w:hAnsi="Times New Roman"/>
          <w:color w:val="auto"/>
          <w:szCs w:val="21"/>
          <w:highlight w:val="none"/>
        </w:rPr>
        <w:t>的全部内容，愿意以含税价人民币（大写）</w:t>
      </w:r>
      <w:r>
        <w:rPr>
          <w:rFonts w:ascii="Times New Roman" w:hAnsi="Times New Roman"/>
          <w:color w:val="auto"/>
          <w:highlight w:val="none"/>
          <w:u w:val="single"/>
        </w:rPr>
        <w:t xml:space="preserve">               </w:t>
      </w:r>
      <w:r>
        <w:rPr>
          <w:rFonts w:ascii="Times New Roman" w:hAnsi="Times New Roman"/>
          <w:color w:val="auto"/>
          <w:szCs w:val="21"/>
          <w:highlight w:val="none"/>
        </w:rPr>
        <w:t>（¥</w:t>
      </w:r>
      <w:r>
        <w:rPr>
          <w:rFonts w:ascii="Times New Roman" w:hAnsi="Times New Roman"/>
          <w:color w:val="auto"/>
          <w:highlight w:val="none"/>
          <w:u w:val="single"/>
        </w:rPr>
        <w:t xml:space="preserve">               </w:t>
      </w:r>
      <w:r>
        <w:rPr>
          <w:rFonts w:ascii="Times New Roman" w:hAnsi="Times New Roman"/>
          <w:color w:val="auto"/>
          <w:szCs w:val="21"/>
          <w:highlight w:val="none"/>
        </w:rPr>
        <w:t>）的报价（其中</w:t>
      </w:r>
      <w:r>
        <w:rPr>
          <w:rFonts w:hint="eastAsia" w:ascii="Times New Roman" w:hAnsi="Times New Roman"/>
          <w:color w:val="auto"/>
          <w:szCs w:val="21"/>
          <w:highlight w:val="none"/>
        </w:rPr>
        <w:t>不含税价为：</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，增值税</w:t>
      </w:r>
      <w:r>
        <w:rPr>
          <w:rFonts w:hint="eastAsia" w:ascii="Times New Roman" w:hAnsi="Times New Roman"/>
          <w:color w:val="auto"/>
          <w:szCs w:val="21"/>
          <w:highlight w:val="none"/>
        </w:rPr>
        <w:t>税额</w:t>
      </w:r>
      <w:r>
        <w:rPr>
          <w:rFonts w:ascii="Times New Roman" w:hAnsi="Times New Roman"/>
          <w:color w:val="auto"/>
          <w:szCs w:val="21"/>
          <w:highlight w:val="none"/>
        </w:rPr>
        <w:t>为</w:t>
      </w:r>
      <w:r>
        <w:rPr>
          <w:rFonts w:hint="eastAsia" w:ascii="Times New Roman" w:hAnsi="Times New Roman"/>
          <w:color w:val="auto"/>
          <w:szCs w:val="21"/>
          <w:highlight w:val="none"/>
        </w:rPr>
        <w:t>：</w:t>
      </w:r>
      <w:r>
        <w:rPr>
          <w:rFonts w:ascii="Times New Roman" w:hAnsi="Times New Roman" w:eastAsia="黑体"/>
          <w:color w:val="auto"/>
          <w:sz w:val="28"/>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完成/提供</w:t>
      </w:r>
      <w:r>
        <w:rPr>
          <w:rFonts w:hint="eastAsia" w:ascii="Times New Roman" w:hAnsi="Times New Roman"/>
          <w:color w:val="auto"/>
          <w:highlight w:val="none"/>
        </w:rPr>
        <w:t>本</w:t>
      </w:r>
      <w:r>
        <w:rPr>
          <w:rFonts w:ascii="Times New Roman" w:hAnsi="Times New Roman"/>
          <w:color w:val="auto"/>
          <w:highlight w:val="none"/>
        </w:rPr>
        <w:t>项目</w:t>
      </w:r>
      <w:r>
        <w:rPr>
          <w:rFonts w:hint="eastAsia" w:ascii="Times New Roman" w:hAnsi="Times New Roman"/>
          <w:color w:val="auto"/>
          <w:szCs w:val="21"/>
          <w:highlight w:val="none"/>
        </w:rPr>
        <w:t>货物</w:t>
      </w:r>
      <w:r>
        <w:rPr>
          <w:rFonts w:ascii="Times New Roman" w:hAnsi="Times New Roman"/>
          <w:color w:val="auto"/>
          <w:szCs w:val="21"/>
          <w:highlight w:val="none"/>
        </w:rPr>
        <w:t>，并按合同约定履行义务。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w:t>
      </w:r>
      <w:r>
        <w:rPr>
          <w:rFonts w:hint="eastAsia" w:ascii="Times New Roman" w:hAnsi="Times New Roman"/>
          <w:color w:val="auto"/>
          <w:szCs w:val="21"/>
          <w:highlight w:val="none"/>
        </w:rPr>
        <w:t>响应文件</w:t>
      </w:r>
      <w:r>
        <w:rPr>
          <w:rFonts w:ascii="Times New Roman" w:hAnsi="Times New Roman"/>
          <w:color w:val="auto"/>
          <w:szCs w:val="21"/>
          <w:highlight w:val="none"/>
        </w:rPr>
        <w:t>包括下列内容：</w:t>
      </w:r>
    </w:p>
    <w:p>
      <w:pPr>
        <w:spacing w:line="400" w:lineRule="exact"/>
        <w:ind w:firstLine="405"/>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响应函</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（2）授权委托书</w:t>
      </w:r>
      <w:r>
        <w:rPr>
          <w:rFonts w:hint="eastAsia" w:ascii="Times New Roman" w:hAnsi="Times New Roman"/>
          <w:color w:val="auto"/>
          <w:highlight w:val="none"/>
        </w:rPr>
        <w:t>（如有）</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（3）联合体协议书（如有）；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响应保证金</w:t>
      </w:r>
      <w:r>
        <w:rPr>
          <w:rFonts w:ascii="Times New Roman" w:hAnsi="Times New Roman"/>
          <w:color w:val="auto"/>
          <w:highlight w:val="none"/>
        </w:rPr>
        <w:t>（如有）；</w:t>
      </w:r>
    </w:p>
    <w:p>
      <w:pPr>
        <w:spacing w:line="400" w:lineRule="exact"/>
        <w:ind w:firstLine="405"/>
        <w:rPr>
          <w:rFonts w:ascii="Times New Roman" w:hAnsi="Times New Roman"/>
          <w:color w:val="auto"/>
          <w:highlight w:val="none"/>
        </w:rPr>
      </w:pPr>
      <w:r>
        <w:rPr>
          <w:rFonts w:ascii="Times New Roman" w:hAnsi="Times New Roman"/>
          <w:color w:val="auto"/>
          <w:highlight w:val="none"/>
        </w:rPr>
        <w:t>（5）商务和技术偏差表；</w:t>
      </w:r>
    </w:p>
    <w:p>
      <w:pPr>
        <w:spacing w:line="400" w:lineRule="exact"/>
        <w:ind w:firstLine="405"/>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报价表</w:t>
      </w:r>
      <w:r>
        <w:rPr>
          <w:rFonts w:ascii="Times New Roman" w:hAnsi="Times New Roman"/>
          <w:color w:val="auto"/>
          <w:highlight w:val="none"/>
        </w:rPr>
        <w:t>；</w:t>
      </w:r>
    </w:p>
    <w:p>
      <w:pPr>
        <w:spacing w:line="400" w:lineRule="exact"/>
        <w:ind w:firstLine="405"/>
        <w:rPr>
          <w:rFonts w:ascii="Times New Roman" w:hAnsi="Times New Roman"/>
          <w:color w:val="auto"/>
          <w:highlight w:val="none"/>
        </w:rPr>
      </w:pPr>
      <w:r>
        <w:rPr>
          <w:rFonts w:ascii="Times New Roman" w:hAnsi="Times New Roman"/>
          <w:color w:val="auto"/>
          <w:highlight w:val="none"/>
        </w:rPr>
        <w:t>（7）资格审查资料；</w:t>
      </w:r>
    </w:p>
    <w:p>
      <w:pPr>
        <w:spacing w:line="400" w:lineRule="exact"/>
        <w:ind w:firstLine="405"/>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响应方案；</w:t>
      </w:r>
    </w:p>
    <w:p>
      <w:pPr>
        <w:spacing w:line="400" w:lineRule="exact"/>
        <w:ind w:firstLine="405"/>
        <w:rPr>
          <w:rFonts w:ascii="Times New Roman" w:hAnsi="Times New Roman"/>
          <w:color w:val="auto"/>
          <w:sz w:val="22"/>
          <w:highlight w:val="none"/>
        </w:rPr>
      </w:pPr>
      <w:r>
        <w:rPr>
          <w:rFonts w:ascii="Times New Roman" w:hAnsi="Times New Roman"/>
          <w:color w:val="auto"/>
          <w:highlight w:val="none"/>
        </w:rPr>
        <w:t>……</w:t>
      </w:r>
    </w:p>
    <w:p>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响应文件</w:t>
      </w:r>
      <w:r>
        <w:rPr>
          <w:rFonts w:ascii="Times New Roman" w:hAnsi="Times New Roman"/>
          <w:color w:val="auto"/>
          <w:szCs w:val="21"/>
          <w:highlight w:val="none"/>
        </w:rPr>
        <w:t>的上述组成部分如存在内容不一致的，以</w:t>
      </w:r>
      <w:r>
        <w:rPr>
          <w:rFonts w:hint="eastAsia" w:ascii="Times New Roman" w:hAnsi="Times New Roman"/>
          <w:color w:val="auto"/>
          <w:szCs w:val="21"/>
          <w:highlight w:val="none"/>
        </w:rPr>
        <w:t>响应函</w:t>
      </w:r>
      <w:r>
        <w:rPr>
          <w:rFonts w:ascii="Times New Roman" w:hAnsi="Times New Roman"/>
          <w:color w:val="auto"/>
          <w:szCs w:val="21"/>
          <w:highlight w:val="none"/>
        </w:rPr>
        <w:t>为准。</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3．我方承诺除</w:t>
      </w:r>
      <w:r>
        <w:rPr>
          <w:rFonts w:ascii="Times New Roman" w:hAnsi="Times New Roman"/>
          <w:color w:val="auto"/>
          <w:sz w:val="22"/>
          <w:highlight w:val="none"/>
        </w:rPr>
        <w:t>商务和技术</w:t>
      </w:r>
      <w:r>
        <w:rPr>
          <w:rFonts w:ascii="Times New Roman" w:hAnsi="Times New Roman"/>
          <w:color w:val="auto"/>
          <w:szCs w:val="21"/>
          <w:highlight w:val="none"/>
        </w:rPr>
        <w:t>偏差表列出的偏差外，我方响应</w:t>
      </w:r>
      <w:r>
        <w:rPr>
          <w:rFonts w:hint="eastAsia" w:ascii="Times New Roman" w:hAnsi="Times New Roman"/>
          <w:color w:val="auto"/>
          <w:szCs w:val="21"/>
          <w:highlight w:val="none"/>
        </w:rPr>
        <w:t>采购文件</w:t>
      </w:r>
      <w:r>
        <w:rPr>
          <w:rFonts w:ascii="Times New Roman" w:hAnsi="Times New Roman"/>
          <w:color w:val="auto"/>
          <w:szCs w:val="21"/>
          <w:highlight w:val="none"/>
        </w:rPr>
        <w:t>的全部要求。</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4．我方承诺在</w:t>
      </w:r>
      <w:r>
        <w:rPr>
          <w:rFonts w:hint="eastAsia" w:ascii="Times New Roman" w:hAnsi="Times New Roman"/>
          <w:color w:val="auto"/>
          <w:szCs w:val="21"/>
          <w:highlight w:val="none"/>
        </w:rPr>
        <w:t>采购文件</w:t>
      </w:r>
      <w:r>
        <w:rPr>
          <w:rFonts w:ascii="Times New Roman" w:hAnsi="Times New Roman"/>
          <w:color w:val="auto"/>
          <w:szCs w:val="21"/>
          <w:highlight w:val="none"/>
        </w:rPr>
        <w:t>规定的</w:t>
      </w:r>
      <w:r>
        <w:rPr>
          <w:rFonts w:hint="eastAsia" w:ascii="Times New Roman" w:hAnsi="Times New Roman"/>
          <w:color w:val="auto"/>
          <w:szCs w:val="21"/>
          <w:highlight w:val="none"/>
        </w:rPr>
        <w:t>响应文件有效期</w:t>
      </w:r>
      <w:r>
        <w:rPr>
          <w:rFonts w:ascii="Times New Roman" w:hAnsi="Times New Roman"/>
          <w:color w:val="auto"/>
          <w:szCs w:val="21"/>
          <w:highlight w:val="none"/>
        </w:rPr>
        <w:t>内不撤销</w:t>
      </w:r>
      <w:r>
        <w:rPr>
          <w:rFonts w:hint="eastAsia" w:ascii="Times New Roman" w:hAnsi="Times New Roman"/>
          <w:color w:val="auto"/>
          <w:szCs w:val="21"/>
          <w:highlight w:val="none"/>
        </w:rPr>
        <w:t>响应文件</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5．如我方</w:t>
      </w:r>
      <w:r>
        <w:rPr>
          <w:rFonts w:hint="eastAsia" w:ascii="Times New Roman" w:hAnsi="Times New Roman"/>
          <w:color w:val="auto"/>
          <w:szCs w:val="21"/>
          <w:highlight w:val="none"/>
        </w:rPr>
        <w:t>成交</w:t>
      </w:r>
      <w:r>
        <w:rPr>
          <w:rFonts w:ascii="Times New Roman" w:hAnsi="Times New Roman"/>
          <w:color w:val="auto"/>
          <w:szCs w:val="21"/>
          <w:highlight w:val="none"/>
        </w:rPr>
        <w:t>，我方承诺：</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）在收到成交通知书后，在成交通知书规定的期限内与你方签订合同；</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）在签订合同时不向你方提出附加条件；</w:t>
      </w:r>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）按照采购文件要求递交履约保证金；</w:t>
      </w:r>
      <w:bookmarkStart w:id="364" w:name="_Toc1187"/>
      <w:bookmarkStart w:id="365" w:name="_Toc352691658"/>
      <w:bookmarkStart w:id="366" w:name="_Toc369531694"/>
    </w:p>
    <w:p>
      <w:pPr>
        <w:spacing w:line="400" w:lineRule="exact"/>
        <w:ind w:firstLine="405"/>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bookmarkEnd w:id="364"/>
      <w:bookmarkEnd w:id="365"/>
      <w:bookmarkEnd w:id="366"/>
      <w:r>
        <w:rPr>
          <w:rFonts w:hint="eastAsia" w:ascii="Times New Roman" w:hAnsi="Times New Roman"/>
          <w:color w:val="auto"/>
          <w:highlight w:val="none"/>
        </w:rPr>
        <w:t>）在合同约定的期限内完成合同规定的全部义务。</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w:t>
      </w:r>
      <w:r>
        <w:rPr>
          <w:rFonts w:ascii="Times New Roman" w:hAnsi="Times New Roman"/>
          <w:color w:val="auto"/>
          <w:highlight w:val="none"/>
        </w:rPr>
        <w:t>我方在此声明，所递交的</w:t>
      </w:r>
      <w:r>
        <w:rPr>
          <w:rFonts w:hint="eastAsia" w:ascii="Times New Roman" w:hAnsi="Times New Roman"/>
          <w:color w:val="auto"/>
          <w:highlight w:val="none"/>
        </w:rPr>
        <w:t>响应文件</w:t>
      </w:r>
      <w:r>
        <w:rPr>
          <w:rFonts w:ascii="Times New Roman" w:hAnsi="Times New Roman"/>
          <w:color w:val="auto"/>
          <w:highlight w:val="none"/>
        </w:rPr>
        <w:t>及有关资料内容完整、真实和准确，且不存在第</w:t>
      </w:r>
      <w:r>
        <w:rPr>
          <w:rFonts w:hint="eastAsia" w:ascii="Times New Roman" w:hAnsi="Times New Roman"/>
          <w:color w:val="auto"/>
          <w:highlight w:val="none"/>
        </w:rPr>
        <w:t>一</w:t>
      </w:r>
      <w:r>
        <w:rPr>
          <w:rFonts w:ascii="Times New Roman" w:hAnsi="Times New Roman"/>
          <w:color w:val="auto"/>
          <w:highlight w:val="none"/>
        </w:rPr>
        <w:t>章“</w:t>
      </w:r>
      <w:r>
        <w:rPr>
          <w:rFonts w:hint="eastAsia" w:ascii="Times New Roman" w:hAnsi="Times New Roman"/>
          <w:color w:val="auto"/>
          <w:highlight w:val="none"/>
        </w:rPr>
        <w:t>询比采购公告/询比采购邀请书</w:t>
      </w:r>
      <w:r>
        <w:rPr>
          <w:rFonts w:ascii="Times New Roman" w:hAnsi="Times New Roman"/>
          <w:color w:val="auto"/>
          <w:highlight w:val="none"/>
        </w:rPr>
        <w:t>”</w:t>
      </w:r>
      <w:r>
        <w:rPr>
          <w:rFonts w:hint="eastAsia" w:ascii="Times New Roman" w:hAnsi="Times New Roman"/>
          <w:color w:val="auto"/>
          <w:highlight w:val="none"/>
        </w:rPr>
        <w:t>中</w:t>
      </w:r>
      <w:r>
        <w:rPr>
          <w:rFonts w:ascii="Times New Roman" w:hAnsi="Times New Roman"/>
          <w:color w:val="auto"/>
          <w:highlight w:val="none"/>
        </w:rPr>
        <w:t>规定的</w:t>
      </w:r>
      <w:r>
        <w:rPr>
          <w:rFonts w:hint="eastAsia" w:ascii="Times New Roman" w:hAnsi="Times New Roman"/>
          <w:color w:val="auto"/>
          <w:highlight w:val="none"/>
        </w:rPr>
        <w:t>供应商不得存在的</w:t>
      </w:r>
      <w:r>
        <w:rPr>
          <w:rFonts w:ascii="Times New Roman" w:hAnsi="Times New Roman"/>
          <w:color w:val="auto"/>
          <w:highlight w:val="none"/>
        </w:rPr>
        <w:t>情形。</w:t>
      </w:r>
    </w:p>
    <w:p>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（其他补充说明）</w:t>
      </w:r>
      <w:r>
        <w:rPr>
          <w:rFonts w:ascii="Times New Roman" w:hAnsi="Times New Roman"/>
          <w:color w:val="auto"/>
          <w:szCs w:val="21"/>
          <w:highlight w:val="none"/>
        </w:rPr>
        <w:t>。</w:t>
      </w:r>
    </w:p>
    <w:p>
      <w:pPr>
        <w:spacing w:line="440" w:lineRule="exact"/>
        <w:ind w:firstLine="420" w:firstLineChars="200"/>
        <w:rPr>
          <w:rFonts w:ascii="Times New Roman" w:hAnsi="Times New Roman"/>
          <w:color w:val="auto"/>
          <w:szCs w:val="21"/>
          <w:highlight w:val="none"/>
        </w:rPr>
      </w:pPr>
    </w:p>
    <w:p>
      <w:pPr>
        <w:spacing w:line="440" w:lineRule="exact"/>
        <w:ind w:firstLine="2520" w:firstLineChars="1200"/>
        <w:jc w:val="left"/>
        <w:rPr>
          <w:rFonts w:ascii="Times New Roman" w:hAnsi="Times New Roman"/>
          <w:color w:val="auto"/>
          <w:szCs w:val="21"/>
          <w:highlight w:val="none"/>
        </w:rPr>
      </w:pPr>
      <w:bookmarkStart w:id="367" w:name="_Toc369531696"/>
      <w:bookmarkEnd w:id="367"/>
      <w:bookmarkStart w:id="368" w:name="_Toc352691659"/>
      <w:bookmarkEnd w:id="368"/>
      <w:bookmarkStart w:id="369" w:name="_Toc16568"/>
      <w:bookmarkEnd w:id="369"/>
      <w:bookmarkStart w:id="370" w:name="_Toc352691660"/>
      <w:bookmarkEnd w:id="370"/>
      <w:bookmarkStart w:id="371" w:name="_Toc16824"/>
      <w:bookmarkEnd w:id="371"/>
      <w:bookmarkStart w:id="372" w:name="_Toc369531695"/>
      <w:bookmarkEnd w:id="372"/>
      <w:r>
        <w:rPr>
          <w:rFonts w:hint="eastAsia" w:ascii="Times New Roman" w:hAnsi="Times New Roman"/>
          <w:color w:val="auto"/>
          <w:szCs w:val="21"/>
          <w:highlight w:val="none"/>
        </w:rPr>
        <w:t>供 应 商</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（盖单位章）</w:t>
      </w:r>
    </w:p>
    <w:p>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法定代表人（单位负责人）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（签字）</w:t>
      </w:r>
    </w:p>
    <w:p>
      <w:pPr>
        <w:spacing w:line="440" w:lineRule="exact"/>
        <w:ind w:firstLine="2520" w:firstLineChars="1200"/>
        <w:jc w:val="left"/>
        <w:rPr>
          <w:rFonts w:hint="eastAsia" w:ascii="Times New Roman" w:hAnsi="Times New Roman"/>
          <w:color w:val="auto"/>
          <w:szCs w:val="21"/>
          <w:highlight w:val="none"/>
          <w:u w:val="singl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hint="eastAsia" w:ascii="Times New Roman" w:hAnsi="Times New Roman"/>
          <w:color w:val="auto"/>
          <w:szCs w:val="21"/>
          <w:highlight w:val="none"/>
        </w:rPr>
        <w:t>电子邮箱：</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pPr>
        <w:adjustRightInd w:val="0"/>
        <w:snapToGrid w:val="0"/>
        <w:spacing w:before="48" w:beforeLines="20" w:after="48" w:afterLines="20" w:line="400" w:lineRule="exact"/>
        <w:ind w:firstLine="367" w:firstLineChars="175"/>
        <w:jc w:val="right"/>
        <w:rPr>
          <w:rFonts w:hint="eastAsia" w:ascii="宋体" w:hAnsi="宋体"/>
          <w:color w:val="auto"/>
          <w:szCs w:val="21"/>
          <w:highlight w:val="none"/>
        </w:rPr>
      </w:pPr>
    </w:p>
    <w:p>
      <w:pPr>
        <w:spacing w:before="240" w:beforeLines="100" w:line="510" w:lineRule="exact"/>
        <w:jc w:val="center"/>
        <w:rPr>
          <w:rFonts w:hint="eastAsia" w:ascii="黑体" w:hAnsi="宋体" w:eastAsia="黑体"/>
          <w:color w:val="auto"/>
          <w:sz w:val="28"/>
          <w:szCs w:val="28"/>
          <w:highlight w:val="none"/>
        </w:rPr>
      </w:pPr>
      <w:r>
        <w:rPr>
          <w:rFonts w:ascii="黑体" w:hAnsi="宋体" w:eastAsia="黑体"/>
          <w:color w:val="auto"/>
          <w:sz w:val="28"/>
          <w:szCs w:val="28"/>
          <w:highlight w:val="none"/>
        </w:rPr>
        <w:br w:type="page"/>
      </w:r>
    </w:p>
    <w:p>
      <w:pPr>
        <w:pStyle w:val="2"/>
        <w:jc w:val="center"/>
        <w:rPr>
          <w:rFonts w:hint="eastAsia"/>
          <w:color w:val="auto"/>
          <w:highlight w:val="none"/>
        </w:rPr>
      </w:pPr>
      <w:r>
        <w:rPr>
          <w:rFonts w:hint="eastAsia"/>
          <w:color w:val="auto"/>
          <w:highlight w:val="none"/>
        </w:rPr>
        <w:t>二、</w:t>
      </w:r>
      <w:bookmarkEnd w:id="356"/>
      <w:bookmarkEnd w:id="357"/>
      <w:bookmarkEnd w:id="358"/>
      <w:bookmarkEnd w:id="359"/>
      <w:r>
        <w:rPr>
          <w:rFonts w:hint="eastAsia"/>
          <w:color w:val="auto"/>
          <w:highlight w:val="none"/>
        </w:rPr>
        <w:t>法定代表人（单位负责人）身份证明或授权委托书</w:t>
      </w:r>
    </w:p>
    <w:p>
      <w:pPr>
        <w:spacing w:line="360" w:lineRule="auto"/>
        <w:ind w:firstLine="1164" w:firstLineChars="414"/>
        <w:rPr>
          <w:rFonts w:ascii="宋体" w:hAnsi="宋体"/>
          <w:b/>
          <w:bCs/>
          <w:color w:val="auto"/>
          <w:sz w:val="28"/>
          <w:szCs w:val="22"/>
          <w:highlight w:val="none"/>
        </w:rPr>
      </w:pPr>
    </w:p>
    <w:p>
      <w:pPr>
        <w:jc w:val="center"/>
        <w:rPr>
          <w:rFonts w:hint="eastAsia" w:ascii="黑体" w:hAnsi="黑体" w:eastAsia="黑体"/>
          <w:bCs/>
          <w:color w:val="auto"/>
          <w:sz w:val="24"/>
          <w:highlight w:val="none"/>
        </w:rPr>
      </w:pPr>
      <w:r>
        <w:rPr>
          <w:rFonts w:hint="eastAsia" w:ascii="黑体" w:hAnsi="黑体" w:eastAsia="黑体"/>
          <w:bCs/>
          <w:color w:val="auto"/>
          <w:sz w:val="24"/>
          <w:highlight w:val="none"/>
        </w:rPr>
        <w:t>法定代表人（单位负责人）身份证明</w:t>
      </w:r>
    </w:p>
    <w:p>
      <w:pPr>
        <w:ind w:left="765"/>
        <w:rPr>
          <w:rFonts w:ascii="宋体" w:hAnsi="宋体"/>
          <w:color w:val="auto"/>
          <w:szCs w:val="22"/>
          <w:highlight w:val="none"/>
        </w:rPr>
      </w:pPr>
    </w:p>
    <w:p>
      <w:pPr>
        <w:spacing w:line="50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w:t>
      </w:r>
    </w:p>
    <w:p>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pPr>
        <w:spacing w:line="500" w:lineRule="exact"/>
        <w:rPr>
          <w:rFonts w:hint="eastAsia" w:ascii="宋体" w:hAnsi="宋体"/>
          <w:color w:val="auto"/>
          <w:szCs w:val="21"/>
          <w:highlight w:val="none"/>
        </w:rPr>
      </w:pPr>
    </w:p>
    <w:p>
      <w:pPr>
        <w:spacing w:line="500" w:lineRule="exact"/>
        <w:rPr>
          <w:rFonts w:hint="eastAsia" w:ascii="宋体" w:hAnsi="宋体"/>
          <w:color w:val="auto"/>
          <w:szCs w:val="21"/>
          <w:highlight w:val="none"/>
        </w:rPr>
      </w:pPr>
    </w:p>
    <w:p>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before="48" w:beforeLines="20" w:after="48" w:afterLines="20" w:line="540" w:lineRule="exact"/>
        <w:ind w:firstLine="3990" w:firstLineChars="1900"/>
        <w:rPr>
          <w:rFonts w:hint="eastAsia" w:ascii="宋体" w:hAnsi="宋体"/>
          <w:color w:val="auto"/>
          <w:sz w:val="24"/>
          <w:szCs w:val="22"/>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before="48" w:beforeLines="20" w:after="48" w:afterLines="20" w:line="540" w:lineRule="exact"/>
        <w:ind w:firstLine="3840" w:firstLineChars="1600"/>
        <w:rPr>
          <w:rFonts w:hint="eastAsia" w:ascii="宋体" w:hAnsi="宋体"/>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p>
      <w:pPr>
        <w:spacing w:before="48" w:beforeLines="20" w:after="48" w:afterLines="20" w:line="540" w:lineRule="exact"/>
        <w:rPr>
          <w:rFonts w:hint="eastAsia" w:ascii="宋体" w:hAnsi="宋体"/>
          <w:b/>
          <w:bCs/>
          <w:color w:val="auto"/>
          <w:sz w:val="24"/>
          <w:szCs w:val="22"/>
          <w:highlight w:val="none"/>
        </w:rPr>
      </w:pPr>
    </w:p>
    <w:bookmarkEnd w:id="360"/>
    <w:p>
      <w:pPr>
        <w:jc w:val="center"/>
        <w:rPr>
          <w:rFonts w:hint="eastAsia"/>
          <w:color w:val="auto"/>
          <w:sz w:val="32"/>
          <w:szCs w:val="32"/>
          <w:highlight w:val="none"/>
        </w:rPr>
      </w:pPr>
      <w:bookmarkStart w:id="373" w:name="_Toc535241130"/>
      <w:bookmarkStart w:id="374" w:name="_Toc535241227"/>
      <w:bookmarkStart w:id="375" w:name="_Toc535241084"/>
      <w:bookmarkStart w:id="376" w:name="_Toc224103497"/>
      <w:bookmarkStart w:id="377" w:name="_Toc224103498"/>
      <w:r>
        <w:rPr>
          <w:color w:val="auto"/>
          <w:sz w:val="32"/>
          <w:szCs w:val="32"/>
          <w:highlight w:val="none"/>
        </w:rPr>
        <w:br w:type="page"/>
      </w:r>
      <w:r>
        <w:rPr>
          <w:rFonts w:hint="eastAsia" w:ascii="黑体" w:hAnsi="黑体" w:eastAsia="黑体"/>
          <w:bCs/>
          <w:color w:val="auto"/>
          <w:sz w:val="24"/>
          <w:highlight w:val="none"/>
        </w:rPr>
        <w:t>授权委托书</w:t>
      </w:r>
      <w:bookmarkEnd w:id="373"/>
      <w:bookmarkEnd w:id="374"/>
      <w:bookmarkEnd w:id="375"/>
    </w:p>
    <w:p>
      <w:pPr>
        <w:rPr>
          <w:rFonts w:hint="eastAsia"/>
          <w:color w:val="auto"/>
          <w:highlight w:val="none"/>
        </w:rPr>
      </w:pP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名称）的法定代表人（单位负责人），现委托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标包医用</w:t>
      </w:r>
      <w:r>
        <w:rPr>
          <w:rFonts w:hint="eastAsia" w:ascii="宋体" w:hAnsi="宋体"/>
          <w:color w:val="auto"/>
          <w:szCs w:val="21"/>
          <w:highlight w:val="none"/>
          <w:lang w:val="en-US" w:eastAsia="zh-CN"/>
        </w:rPr>
        <w:t>设备</w:t>
      </w:r>
      <w:r>
        <w:rPr>
          <w:rFonts w:hint="eastAsia" w:ascii="宋体" w:hAnsi="宋体"/>
          <w:color w:val="auto"/>
          <w:szCs w:val="21"/>
          <w:highlight w:val="none"/>
        </w:rPr>
        <w:t>采购采购项目响应文件、签订合同和处理有关事宜，其法律后果由我方承担。</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附：法定代表人（单位负责人）身份证明</w:t>
      </w:r>
    </w:p>
    <w:p>
      <w:pPr>
        <w:spacing w:line="500" w:lineRule="exact"/>
        <w:rPr>
          <w:rFonts w:hint="eastAsia" w:ascii="宋体" w:hAnsi="宋体"/>
          <w:color w:val="auto"/>
          <w:szCs w:val="21"/>
          <w:highlight w:val="none"/>
        </w:rPr>
      </w:pP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法定代表人（单位负责人）：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pPr>
        <w:spacing w:line="400" w:lineRule="exact"/>
        <w:ind w:firstLine="3570" w:firstLineChars="17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400" w:lineRule="exact"/>
        <w:ind w:firstLine="4830" w:firstLineChars="23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line="360" w:lineRule="auto"/>
        <w:jc w:val="left"/>
        <w:rPr>
          <w:rFonts w:hint="eastAsia" w:ascii="宋体" w:hAnsi="宋体"/>
          <w:color w:val="auto"/>
          <w:kern w:val="0"/>
          <w:szCs w:val="22"/>
          <w:highlight w:val="none"/>
        </w:rPr>
      </w:pPr>
    </w:p>
    <w:p>
      <w:pPr>
        <w:tabs>
          <w:tab w:val="left" w:pos="5760"/>
        </w:tabs>
        <w:autoSpaceDE w:val="0"/>
        <w:autoSpaceDN w:val="0"/>
        <w:adjustRightInd w:val="0"/>
        <w:spacing w:line="300" w:lineRule="exact"/>
        <w:ind w:right="11"/>
        <w:rPr>
          <w:rFonts w:ascii="宋体" w:hAnsi="宋体"/>
          <w:color w:val="auto"/>
          <w:kern w:val="0"/>
          <w:szCs w:val="22"/>
          <w:highlight w:val="none"/>
        </w:rPr>
      </w:pPr>
      <w:r>
        <w:rPr>
          <w:rFonts w:hint="eastAsia" w:ascii="宋体" w:hAnsi="宋体"/>
          <w:color w:val="auto"/>
          <w:kern w:val="0"/>
          <w:szCs w:val="22"/>
          <w:highlight w:val="none"/>
        </w:rPr>
        <w:t>注：法定代表人（单位负责人）参加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采购活动并签署文件的不需要授权委托书，只需提供法定代表人（单位负责人）身份证明；非法定代表人（单位负责人）参加</w:t>
      </w:r>
      <w:r>
        <w:rPr>
          <w:rFonts w:hint="eastAsia" w:ascii="宋体" w:hAnsi="宋体"/>
          <w:color w:val="auto"/>
          <w:kern w:val="0"/>
          <w:szCs w:val="22"/>
          <w:highlight w:val="none"/>
          <w:lang w:eastAsia="zh-CN"/>
        </w:rPr>
        <w:t>询比</w:t>
      </w:r>
      <w:r>
        <w:rPr>
          <w:rFonts w:hint="eastAsia" w:ascii="宋体" w:hAnsi="宋体"/>
          <w:color w:val="auto"/>
          <w:kern w:val="0"/>
          <w:szCs w:val="22"/>
          <w:highlight w:val="none"/>
        </w:rPr>
        <w:t>采购活动及签署文件的除提供法定代表人（单位负责人）身份证明外还须提供授权委托书。</w:t>
      </w:r>
      <w:bookmarkEnd w:id="376"/>
      <w:bookmarkEnd w:id="377"/>
      <w:bookmarkStart w:id="378" w:name="_Toc460660224"/>
      <w:bookmarkStart w:id="379" w:name="_Toc421917002"/>
      <w:bookmarkStart w:id="380" w:name="_Toc224103499"/>
      <w:bookmarkStart w:id="381" w:name="_Toc460227109"/>
      <w:bookmarkStart w:id="382" w:name="_Toc390411622"/>
    </w:p>
    <w:p>
      <w:pPr>
        <w:pStyle w:val="2"/>
        <w:jc w:val="center"/>
        <w:rPr>
          <w:rFonts w:ascii="Times New Roman" w:hAnsi="Times New Roman"/>
          <w:highlight w:val="none"/>
        </w:rPr>
      </w:pPr>
      <w:r>
        <w:rPr>
          <w:rFonts w:ascii="宋体"/>
          <w:color w:val="auto"/>
          <w:kern w:val="0"/>
          <w:szCs w:val="22"/>
          <w:highlight w:val="none"/>
        </w:rPr>
        <w:br w:type="page"/>
      </w:r>
      <w:bookmarkEnd w:id="378"/>
      <w:bookmarkEnd w:id="379"/>
      <w:bookmarkEnd w:id="380"/>
      <w:bookmarkEnd w:id="381"/>
      <w:bookmarkEnd w:id="382"/>
      <w:bookmarkStart w:id="383" w:name="_Toc501460790"/>
      <w:bookmarkStart w:id="384" w:name="_Toc9115"/>
      <w:bookmarkStart w:id="385" w:name="_Toc460660225"/>
      <w:bookmarkStart w:id="386" w:name="_Toc535241086"/>
      <w:bookmarkStart w:id="387" w:name="_Toc535241229"/>
      <w:bookmarkStart w:id="388" w:name="_Toc460227110"/>
      <w:bookmarkStart w:id="389" w:name="_Toc535241132"/>
      <w:r>
        <w:rPr>
          <w:rFonts w:hint="eastAsia" w:cs="Times New Roman"/>
          <w:color w:val="auto"/>
          <w:highlight w:val="none"/>
          <w:lang w:val="en-US" w:eastAsia="zh-CN"/>
        </w:rPr>
        <w:t>三</w:t>
      </w:r>
      <w:r>
        <w:rPr>
          <w:rFonts w:hint="eastAsia" w:cs="Times New Roman"/>
          <w:color w:val="auto"/>
          <w:highlight w:val="none"/>
        </w:rPr>
        <w:t>、</w:t>
      </w:r>
      <w:bookmarkEnd w:id="383"/>
      <w:bookmarkStart w:id="390" w:name="_Toc247514284"/>
      <w:bookmarkStart w:id="391" w:name="_Toc152042581"/>
      <w:bookmarkStart w:id="392" w:name="_Toc300835214"/>
      <w:bookmarkStart w:id="393" w:name="_Toc369531702"/>
      <w:bookmarkStart w:id="394" w:name="_Toc152045792"/>
      <w:bookmarkStart w:id="395" w:name="_Toc352691666"/>
      <w:bookmarkStart w:id="396" w:name="_Toc144974861"/>
      <w:bookmarkStart w:id="397" w:name="_Toc13469"/>
      <w:bookmarkStart w:id="398" w:name="_Toc384308381"/>
      <w:bookmarkStart w:id="399" w:name="_Toc247527832"/>
      <w:bookmarkStart w:id="400" w:name="_Toc361508757"/>
      <w:r>
        <w:rPr>
          <w:rFonts w:hint="eastAsia" w:cs="Times New Roman"/>
          <w:color w:val="auto"/>
          <w:highlight w:val="none"/>
        </w:rPr>
        <w:t>响应保证金</w:t>
      </w:r>
      <w:bookmarkEnd w:id="384"/>
    </w:p>
    <w:p>
      <w:pPr>
        <w:jc w:val="center"/>
        <w:rPr>
          <w:rFonts w:ascii="楷体" w:hAnsi="楷体" w:eastAsia="楷体"/>
          <w:highlight w:val="none"/>
        </w:rPr>
      </w:pPr>
      <w:r>
        <w:rPr>
          <w:rFonts w:hint="eastAsia" w:ascii="楷体" w:hAnsi="楷体" w:eastAsia="楷体"/>
          <w:highlight w:val="none"/>
        </w:rPr>
        <w:t>（适用于递交响应保证金的情况）</w:t>
      </w:r>
    </w:p>
    <w:p>
      <w:pPr>
        <w:rPr>
          <w:highlight w:val="none"/>
        </w:rPr>
      </w:pP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采用</w:t>
      </w:r>
      <w:r>
        <w:rPr>
          <w:rFonts w:hint="eastAsia" w:ascii="Times New Roman" w:hAnsi="Times New Roman"/>
          <w:szCs w:val="21"/>
          <w:highlight w:val="none"/>
        </w:rPr>
        <w:t>转账方式的</w:t>
      </w:r>
      <w:r>
        <w:rPr>
          <w:rFonts w:ascii="Times New Roman" w:hAnsi="Times New Roman"/>
          <w:szCs w:val="21"/>
          <w:highlight w:val="none"/>
        </w:rPr>
        <w:t>，</w:t>
      </w:r>
      <w:r>
        <w:rPr>
          <w:rFonts w:hint="eastAsia" w:ascii="Times New Roman" w:hAnsi="Times New Roman"/>
          <w:szCs w:val="21"/>
          <w:highlight w:val="none"/>
        </w:rPr>
        <w:t>供应商</w:t>
      </w:r>
      <w:r>
        <w:rPr>
          <w:rFonts w:ascii="Times New Roman" w:hAnsi="Times New Roman"/>
          <w:szCs w:val="21"/>
          <w:highlight w:val="none"/>
        </w:rPr>
        <w:t>应在此提供</w:t>
      </w:r>
      <w:r>
        <w:rPr>
          <w:rFonts w:hint="eastAsia" w:ascii="Times New Roman" w:hAnsi="Times New Roman"/>
          <w:szCs w:val="21"/>
          <w:highlight w:val="none"/>
        </w:rPr>
        <w:t>转账</w:t>
      </w:r>
      <w:r>
        <w:rPr>
          <w:rFonts w:ascii="Times New Roman" w:hAnsi="Times New Roman"/>
          <w:szCs w:val="21"/>
          <w:highlight w:val="none"/>
        </w:rPr>
        <w:t>凭证复印件</w:t>
      </w:r>
      <w:r>
        <w:rPr>
          <w:rFonts w:hint="eastAsia"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2、采用</w:t>
      </w:r>
      <w:r>
        <w:rPr>
          <w:rFonts w:ascii="Times New Roman" w:hAnsi="Times New Roman"/>
          <w:szCs w:val="21"/>
          <w:highlight w:val="none"/>
        </w:rPr>
        <w:t>支票</w:t>
      </w:r>
      <w:r>
        <w:rPr>
          <w:rFonts w:hint="eastAsia" w:ascii="Times New Roman" w:hAnsi="Times New Roman"/>
          <w:szCs w:val="21"/>
          <w:highlight w:val="none"/>
        </w:rPr>
        <w:t>、汇票等方式的，供应商</w:t>
      </w:r>
      <w:r>
        <w:rPr>
          <w:rFonts w:ascii="Times New Roman" w:hAnsi="Times New Roman"/>
          <w:szCs w:val="21"/>
          <w:highlight w:val="none"/>
        </w:rPr>
        <w:t>应在此提供支票</w:t>
      </w:r>
      <w:r>
        <w:rPr>
          <w:rFonts w:hint="eastAsia" w:ascii="Times New Roman" w:hAnsi="Times New Roman"/>
          <w:szCs w:val="21"/>
          <w:highlight w:val="none"/>
        </w:rPr>
        <w:t>、汇票等的复印件，原件应单独递交</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采用</w:t>
      </w:r>
      <w:r>
        <w:rPr>
          <w:rFonts w:hint="eastAsia" w:ascii="Times New Roman" w:hAnsi="Times New Roman"/>
          <w:szCs w:val="21"/>
          <w:highlight w:val="none"/>
        </w:rPr>
        <w:t>银行或担保机构担</w:t>
      </w:r>
      <w:r>
        <w:rPr>
          <w:rFonts w:ascii="Times New Roman" w:hAnsi="Times New Roman"/>
          <w:szCs w:val="21"/>
          <w:highlight w:val="none"/>
        </w:rPr>
        <w:t>保函</w:t>
      </w:r>
      <w:r>
        <w:rPr>
          <w:rFonts w:hint="eastAsia" w:ascii="Times New Roman" w:hAnsi="Times New Roman"/>
          <w:szCs w:val="21"/>
          <w:highlight w:val="none"/>
        </w:rPr>
        <w:t>方式的</w:t>
      </w:r>
      <w:r>
        <w:rPr>
          <w:rFonts w:ascii="Times New Roman" w:hAnsi="Times New Roman"/>
          <w:szCs w:val="21"/>
          <w:highlight w:val="none"/>
        </w:rPr>
        <w:t>，格式如下</w:t>
      </w:r>
      <w:r>
        <w:rPr>
          <w:rFonts w:hint="eastAsia" w:ascii="Times New Roman" w:hAnsi="Times New Roman"/>
          <w:szCs w:val="21"/>
          <w:highlight w:val="none"/>
        </w:rPr>
        <w:t>：</w:t>
      </w:r>
    </w:p>
    <w:p>
      <w:pPr>
        <w:spacing w:line="440" w:lineRule="exact"/>
        <w:rPr>
          <w:rFonts w:ascii="Times New Roman" w:hAnsi="Times New Roman"/>
          <w:sz w:val="24"/>
          <w:highlight w:val="none"/>
        </w:rPr>
      </w:pPr>
    </w:p>
    <w:bookmarkEnd w:id="390"/>
    <w:bookmarkEnd w:id="391"/>
    <w:bookmarkEnd w:id="392"/>
    <w:bookmarkEnd w:id="393"/>
    <w:bookmarkEnd w:id="394"/>
    <w:bookmarkEnd w:id="395"/>
    <w:bookmarkEnd w:id="396"/>
    <w:bookmarkEnd w:id="397"/>
    <w:bookmarkEnd w:id="398"/>
    <w:bookmarkEnd w:id="399"/>
    <w:bookmarkEnd w:id="400"/>
    <w:p>
      <w:pPr>
        <w:spacing w:line="440" w:lineRule="exact"/>
        <w:rPr>
          <w:rFonts w:ascii="Times New Roman" w:hAnsi="Times New Roman"/>
          <w:highlight w:val="none"/>
        </w:rPr>
      </w:pP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u w:val="single"/>
        </w:rPr>
        <w:t>（</w:t>
      </w:r>
      <w:r>
        <w:rPr>
          <w:rFonts w:hint="eastAsia" w:ascii="Times New Roman" w:hAnsi="Times New Roman"/>
          <w:highlight w:val="none"/>
          <w:u w:val="single"/>
        </w:rPr>
        <w:t>采购人</w:t>
      </w:r>
      <w:r>
        <w:rPr>
          <w:rFonts w:ascii="Times New Roman" w:hAnsi="Times New Roman"/>
          <w:highlight w:val="none"/>
          <w:u w:val="single"/>
        </w:rPr>
        <w:t>名称）</w:t>
      </w:r>
      <w:r>
        <w:rPr>
          <w:rFonts w:ascii="Times New Roman" w:hAnsi="Times New Roman"/>
          <w:szCs w:val="21"/>
          <w:highlight w:val="none"/>
        </w:rPr>
        <w:t>：</w:t>
      </w:r>
    </w:p>
    <w:p>
      <w:pPr>
        <w:spacing w:line="440" w:lineRule="exact"/>
        <w:rPr>
          <w:rFonts w:ascii="Times New Roman" w:hAnsi="Times New Roman"/>
          <w:szCs w:val="21"/>
          <w:highlight w:val="none"/>
        </w:rPr>
      </w:pPr>
    </w:p>
    <w:p>
      <w:pPr>
        <w:spacing w:line="400" w:lineRule="exact"/>
        <w:ind w:firstLine="315" w:firstLineChars="150"/>
        <w:rPr>
          <w:rFonts w:ascii="Times New Roman" w:hAnsi="Times New Roman"/>
          <w:szCs w:val="21"/>
          <w:highlight w:val="none"/>
        </w:rPr>
      </w:pPr>
      <w:r>
        <w:rPr>
          <w:rFonts w:ascii="Times New Roman" w:hAnsi="Times New Roman"/>
          <w:highlight w:val="none"/>
        </w:rPr>
        <w:t>鉴于</w:t>
      </w:r>
      <w:r>
        <w:rPr>
          <w:rFonts w:ascii="Times New Roman" w:hAnsi="Times New Roman"/>
          <w:highlight w:val="none"/>
          <w:u w:val="single"/>
        </w:rPr>
        <w:t xml:space="preserve">               </w:t>
      </w:r>
      <w:r>
        <w:rPr>
          <w:rFonts w:ascii="Times New Roman" w:hAnsi="Times New Roman"/>
          <w:szCs w:val="21"/>
          <w:highlight w:val="none"/>
          <w:u w:val="single"/>
        </w:rPr>
        <w:t>（</w:t>
      </w:r>
      <w:r>
        <w:rPr>
          <w:rFonts w:hint="eastAsia" w:ascii="Times New Roman" w:hAnsi="Times New Roman"/>
          <w:szCs w:val="21"/>
          <w:highlight w:val="none"/>
          <w:u w:val="single"/>
        </w:rPr>
        <w:t>供应商</w:t>
      </w:r>
      <w:r>
        <w:rPr>
          <w:rFonts w:ascii="Times New Roman" w:hAnsi="Times New Roman"/>
          <w:szCs w:val="21"/>
          <w:highlight w:val="none"/>
          <w:u w:val="single"/>
        </w:rPr>
        <w:t>名称）</w:t>
      </w:r>
      <w:r>
        <w:rPr>
          <w:rFonts w:ascii="Times New Roman" w:hAnsi="Times New Roman"/>
          <w:szCs w:val="21"/>
          <w:highlight w:val="none"/>
        </w:rPr>
        <w:t>（以下</w:t>
      </w:r>
      <w:r>
        <w:rPr>
          <w:rFonts w:ascii="Times New Roman" w:hAnsi="Times New Roman"/>
          <w:highlight w:val="none"/>
        </w:rPr>
        <w:t>称“</w:t>
      </w:r>
      <w:r>
        <w:rPr>
          <w:rFonts w:hint="eastAsia" w:ascii="Times New Roman" w:hAnsi="Times New Roman"/>
          <w:highlight w:val="none"/>
        </w:rPr>
        <w:t>供应商</w:t>
      </w:r>
      <w:r>
        <w:rPr>
          <w:rFonts w:ascii="Times New Roman" w:hAnsi="Times New Roman"/>
          <w:highlight w:val="none"/>
        </w:rPr>
        <w:t>”）于</w:t>
      </w: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日参加</w:t>
      </w:r>
      <w:r>
        <w:rPr>
          <w:rFonts w:ascii="Times New Roman" w:hAnsi="Times New Roman"/>
          <w:highlight w:val="none"/>
          <w:u w:val="single"/>
        </w:rPr>
        <w:t xml:space="preserve">                 </w:t>
      </w:r>
      <w:r>
        <w:rPr>
          <w:rFonts w:ascii="Times New Roman" w:hAnsi="Times New Roman"/>
          <w:color w:val="000000"/>
          <w:highlight w:val="none"/>
          <w:u w:val="single"/>
        </w:rPr>
        <w:t>（项目名称）</w:t>
      </w:r>
      <w:r>
        <w:rPr>
          <w:rFonts w:hint="eastAsia" w:ascii="Times New Roman" w:hAnsi="Times New Roman"/>
          <w:color w:val="000000"/>
          <w:highlight w:val="none"/>
        </w:rPr>
        <w:t>询比采购</w:t>
      </w:r>
      <w:r>
        <w:rPr>
          <w:rFonts w:ascii="Times New Roman" w:hAnsi="Times New Roman"/>
          <w:color w:val="000000"/>
          <w:highlight w:val="none"/>
        </w:rPr>
        <w:t>活动</w:t>
      </w:r>
      <w:r>
        <w:rPr>
          <w:rFonts w:ascii="Times New Roman" w:hAnsi="Times New Roman"/>
          <w:szCs w:val="21"/>
          <w:highlight w:val="none"/>
        </w:rPr>
        <w:t>，</w:t>
      </w:r>
      <w:r>
        <w:rPr>
          <w:rFonts w:ascii="Times New Roman" w:hAnsi="Times New Roman"/>
          <w:highlight w:val="none"/>
          <w:u w:val="single"/>
        </w:rPr>
        <w:t xml:space="preserve">          </w:t>
      </w:r>
      <w:r>
        <w:rPr>
          <w:rFonts w:ascii="Times New Roman" w:hAnsi="Times New Roman"/>
          <w:szCs w:val="21"/>
          <w:highlight w:val="none"/>
          <w:u w:val="single"/>
        </w:rPr>
        <w:t>（担保人名称</w:t>
      </w:r>
      <w:r>
        <w:rPr>
          <w:rFonts w:hint="eastAsia" w:ascii="Times New Roman" w:hAnsi="Times New Roman"/>
          <w:szCs w:val="21"/>
          <w:highlight w:val="none"/>
          <w:u w:val="single"/>
        </w:rPr>
        <w:t>）</w:t>
      </w:r>
      <w:r>
        <w:rPr>
          <w:rFonts w:hint="eastAsia" w:ascii="Times New Roman" w:hAnsi="Times New Roman"/>
          <w:szCs w:val="21"/>
          <w:highlight w:val="none"/>
        </w:rPr>
        <w:t>（</w:t>
      </w:r>
      <w:r>
        <w:rPr>
          <w:rFonts w:ascii="Times New Roman" w:hAnsi="Times New Roman"/>
          <w:szCs w:val="21"/>
          <w:highlight w:val="none"/>
        </w:rPr>
        <w:t>以下称“我方”）无条件地、不可撤销地保证：若</w:t>
      </w:r>
      <w:r>
        <w:rPr>
          <w:rFonts w:hint="eastAsia" w:ascii="Times New Roman" w:hAnsi="Times New Roman"/>
          <w:highlight w:val="none"/>
        </w:rPr>
        <w:t>供应商</w:t>
      </w:r>
      <w:r>
        <w:rPr>
          <w:rFonts w:ascii="Times New Roman" w:hAnsi="Times New Roman"/>
          <w:highlight w:val="none"/>
        </w:rPr>
        <w:t>在</w:t>
      </w:r>
      <w:r>
        <w:rPr>
          <w:rFonts w:hint="eastAsia" w:ascii="Times New Roman" w:hAnsi="Times New Roman"/>
          <w:color w:val="000000"/>
          <w:highlight w:val="none"/>
        </w:rPr>
        <w:t>响应文件有效期</w:t>
      </w:r>
      <w:r>
        <w:rPr>
          <w:rFonts w:ascii="Times New Roman" w:hAnsi="Times New Roman"/>
          <w:color w:val="000000"/>
          <w:highlight w:val="none"/>
        </w:rPr>
        <w:t>内</w:t>
      </w:r>
      <w:r>
        <w:rPr>
          <w:rFonts w:ascii="Times New Roman" w:hAnsi="Times New Roman"/>
          <w:szCs w:val="21"/>
          <w:highlight w:val="none"/>
        </w:rPr>
        <w:t>撤销</w:t>
      </w:r>
      <w:r>
        <w:rPr>
          <w:rFonts w:hint="eastAsia" w:ascii="Times New Roman" w:hAnsi="Times New Roman"/>
          <w:szCs w:val="21"/>
          <w:highlight w:val="none"/>
        </w:rPr>
        <w:t>响应文件</w:t>
      </w:r>
      <w:r>
        <w:rPr>
          <w:rFonts w:ascii="Times New Roman" w:hAnsi="Times New Roman"/>
          <w:szCs w:val="21"/>
          <w:highlight w:val="none"/>
        </w:rPr>
        <w:t>，或</w:t>
      </w:r>
      <w:r>
        <w:rPr>
          <w:rFonts w:hint="eastAsia" w:ascii="Times New Roman" w:hAnsi="Times New Roman"/>
          <w:szCs w:val="21"/>
          <w:highlight w:val="none"/>
        </w:rPr>
        <w:t>成交</w:t>
      </w:r>
      <w:r>
        <w:rPr>
          <w:rFonts w:ascii="Times New Roman" w:hAnsi="Times New Roman"/>
          <w:szCs w:val="21"/>
          <w:highlight w:val="none"/>
        </w:rPr>
        <w:t>后无正当理由不与</w:t>
      </w:r>
      <w:r>
        <w:rPr>
          <w:rFonts w:hint="eastAsia" w:ascii="Times New Roman" w:hAnsi="Times New Roman"/>
          <w:szCs w:val="21"/>
          <w:highlight w:val="none"/>
        </w:rPr>
        <w:t>采购人</w:t>
      </w:r>
      <w:r>
        <w:rPr>
          <w:rFonts w:ascii="Times New Roman" w:hAnsi="Times New Roman"/>
          <w:szCs w:val="21"/>
          <w:highlight w:val="none"/>
        </w:rPr>
        <w:t>订立合同，或在签订合同时向</w:t>
      </w:r>
      <w:r>
        <w:rPr>
          <w:rFonts w:hint="eastAsia" w:ascii="Times New Roman" w:hAnsi="Times New Roman"/>
          <w:szCs w:val="21"/>
          <w:highlight w:val="none"/>
        </w:rPr>
        <w:t>采购人</w:t>
      </w:r>
      <w:r>
        <w:rPr>
          <w:rFonts w:ascii="Times New Roman" w:hAnsi="Times New Roman"/>
          <w:szCs w:val="21"/>
          <w:highlight w:val="none"/>
        </w:rPr>
        <w:t>提出附加条件，或不按照</w:t>
      </w:r>
      <w:r>
        <w:rPr>
          <w:rFonts w:hint="eastAsia" w:ascii="Times New Roman" w:hAnsi="Times New Roman"/>
          <w:szCs w:val="21"/>
          <w:highlight w:val="none"/>
        </w:rPr>
        <w:t>采购文件</w:t>
      </w:r>
      <w:r>
        <w:rPr>
          <w:rFonts w:ascii="Times New Roman" w:hAnsi="Times New Roman"/>
          <w:szCs w:val="21"/>
          <w:highlight w:val="none"/>
        </w:rPr>
        <w:t>要求</w:t>
      </w:r>
      <w:r>
        <w:rPr>
          <w:rFonts w:hint="eastAsia" w:ascii="Times New Roman" w:hAnsi="Times New Roman"/>
          <w:szCs w:val="21"/>
          <w:highlight w:val="none"/>
        </w:rPr>
        <w:t>递交</w:t>
      </w:r>
      <w:r>
        <w:rPr>
          <w:rFonts w:ascii="Times New Roman" w:hAnsi="Times New Roman"/>
          <w:szCs w:val="21"/>
          <w:highlight w:val="none"/>
        </w:rPr>
        <w:t>履约保证金，或者</w:t>
      </w:r>
      <w:r>
        <w:rPr>
          <w:rFonts w:ascii="Times New Roman" w:hAnsi="Times New Roman"/>
          <w:color w:val="000000"/>
          <w:highlight w:val="none"/>
        </w:rPr>
        <w:t>发生</w:t>
      </w:r>
      <w:r>
        <w:rPr>
          <w:rFonts w:hint="eastAsia" w:ascii="Times New Roman" w:hAnsi="Times New Roman"/>
          <w:color w:val="000000"/>
          <w:highlight w:val="none"/>
        </w:rPr>
        <w:t>采购文件</w:t>
      </w:r>
      <w:r>
        <w:rPr>
          <w:rFonts w:ascii="Times New Roman" w:hAnsi="Times New Roman"/>
          <w:color w:val="000000"/>
          <w:highlight w:val="none"/>
        </w:rPr>
        <w:t>明确规定可以</w:t>
      </w:r>
      <w:r>
        <w:rPr>
          <w:rFonts w:ascii="Times New Roman" w:hAnsi="Times New Roman"/>
          <w:szCs w:val="21"/>
          <w:highlight w:val="none"/>
        </w:rPr>
        <w:t>不予退还</w:t>
      </w:r>
      <w:r>
        <w:rPr>
          <w:rFonts w:hint="eastAsia" w:ascii="Times New Roman" w:hAnsi="Times New Roman"/>
          <w:color w:val="000000"/>
          <w:highlight w:val="none"/>
        </w:rPr>
        <w:t>响应保证金</w:t>
      </w:r>
      <w:r>
        <w:rPr>
          <w:rFonts w:ascii="Times New Roman" w:hAnsi="Times New Roman"/>
          <w:color w:val="000000"/>
          <w:highlight w:val="none"/>
        </w:rPr>
        <w:t>的其他情形</w:t>
      </w:r>
      <w:r>
        <w:rPr>
          <w:rFonts w:ascii="Times New Roman" w:hAnsi="Times New Roman"/>
          <w:szCs w:val="21"/>
          <w:highlight w:val="none"/>
        </w:rPr>
        <w:t>，我方承担保证责任。收到你方书面通知后，我方在7日内向你方无条件支付人民币（大写）</w:t>
      </w:r>
      <w:r>
        <w:rPr>
          <w:rFonts w:ascii="Times New Roman" w:hAnsi="Times New Roman"/>
          <w:highlight w:val="none"/>
          <w:u w:val="single"/>
        </w:rPr>
        <w:t xml:space="preserve">            </w:t>
      </w:r>
      <w:r>
        <w:rPr>
          <w:rFonts w:ascii="Times New Roman" w:hAnsi="Times New Roman"/>
          <w:szCs w:val="21"/>
          <w:highlight w:val="none"/>
        </w:rPr>
        <w:t>。</w:t>
      </w:r>
    </w:p>
    <w:p>
      <w:pPr>
        <w:spacing w:line="440" w:lineRule="exact"/>
        <w:ind w:firstLine="420" w:firstLineChars="200"/>
        <w:rPr>
          <w:rFonts w:ascii="Times New Roman" w:hAnsi="Times New Roman"/>
          <w:szCs w:val="21"/>
          <w:highlight w:val="none"/>
        </w:rPr>
      </w:pPr>
      <w:r>
        <w:rPr>
          <w:rFonts w:ascii="Times New Roman" w:hAnsi="Times New Roman"/>
          <w:szCs w:val="21"/>
          <w:highlight w:val="none"/>
        </w:rPr>
        <w:t>本保函在</w:t>
      </w:r>
      <w:r>
        <w:rPr>
          <w:rFonts w:hint="eastAsia" w:ascii="Times New Roman" w:hAnsi="Times New Roman"/>
          <w:szCs w:val="21"/>
          <w:highlight w:val="none"/>
        </w:rPr>
        <w:t>响应文件有效期</w:t>
      </w:r>
      <w:r>
        <w:rPr>
          <w:rFonts w:ascii="Times New Roman" w:hAnsi="Times New Roman"/>
          <w:szCs w:val="21"/>
          <w:highlight w:val="none"/>
        </w:rPr>
        <w:t>内保持有效。要求我方承担保证责任的通知应在</w:t>
      </w:r>
      <w:r>
        <w:rPr>
          <w:rFonts w:hint="eastAsia" w:ascii="Times New Roman" w:hAnsi="Times New Roman"/>
          <w:szCs w:val="21"/>
          <w:highlight w:val="none"/>
        </w:rPr>
        <w:t>响应文件有效期</w:t>
      </w:r>
      <w:r>
        <w:rPr>
          <w:rFonts w:ascii="Times New Roman" w:hAnsi="Times New Roman"/>
          <w:szCs w:val="21"/>
          <w:highlight w:val="none"/>
        </w:rPr>
        <w:t>内送达我方。</w:t>
      </w:r>
    </w:p>
    <w:p>
      <w:pPr>
        <w:spacing w:line="440" w:lineRule="exact"/>
        <w:rPr>
          <w:rFonts w:ascii="Times New Roman" w:hAnsi="Times New Roman"/>
          <w:szCs w:val="21"/>
          <w:highlight w:val="none"/>
        </w:rPr>
      </w:pPr>
    </w:p>
    <w:p>
      <w:pPr>
        <w:spacing w:line="440" w:lineRule="exac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担保人名称：</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（盖单位章）</w:t>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u w:val="single"/>
        </w:rPr>
      </w:pPr>
      <w:r>
        <w:rPr>
          <w:rFonts w:ascii="Times New Roman" w:hAnsi="Times New Roman"/>
          <w:szCs w:val="21"/>
          <w:highlight w:val="none"/>
        </w:rPr>
        <w:t>邮政编码：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bookmarkStart w:id="401" w:name="_Toc384308382"/>
      <w:bookmarkStart w:id="402" w:name="_Toc22972"/>
      <w:bookmarkStart w:id="403" w:name="_Toc361508758"/>
      <w:bookmarkStart w:id="404" w:name="_Toc352691667"/>
      <w:bookmarkStart w:id="405" w:name="_Toc369531703"/>
      <w:r>
        <w:rPr>
          <w:rFonts w:ascii="Times New Roman" w:hAnsi="Times New Roman"/>
          <w:szCs w:val="21"/>
          <w:highlight w:val="none"/>
          <w:u w:val="single"/>
        </w:rPr>
        <w:tab/>
      </w:r>
    </w:p>
    <w:p>
      <w:pPr>
        <w:spacing w:line="440" w:lineRule="exact"/>
        <w:ind w:firstLine="3208" w:firstLineChars="1528"/>
        <w:jc w:val="right"/>
        <w:rPr>
          <w:rFonts w:ascii="Times New Roman" w:hAnsi="Times New Roman"/>
          <w:szCs w:val="21"/>
          <w:highlight w:val="none"/>
        </w:rPr>
      </w:pPr>
      <w:r>
        <w:rPr>
          <w:rFonts w:ascii="Times New Roman" w:hAnsi="Times New Roman"/>
          <w:szCs w:val="21"/>
          <w:highlight w:val="none"/>
        </w:rPr>
        <w:t>电</w:t>
      </w:r>
      <w:bookmarkEnd w:id="401"/>
      <w:bookmarkEnd w:id="402"/>
      <w:bookmarkEnd w:id="403"/>
      <w:bookmarkEnd w:id="404"/>
      <w:bookmarkEnd w:id="405"/>
      <w:r>
        <w:rPr>
          <w:rFonts w:ascii="Times New Roman" w:hAnsi="Times New Roman"/>
          <w:szCs w:val="21"/>
          <w:highlight w:val="none"/>
        </w:rPr>
        <w:t xml:space="preserve">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pPr>
        <w:pStyle w:val="2"/>
        <w:ind w:left="0" w:leftChars="0" w:firstLine="0" w:firstLineChars="0"/>
        <w:jc w:val="center"/>
        <w:rPr>
          <w:rFonts w:hint="eastAsia"/>
          <w:color w:val="auto"/>
          <w:highlight w:val="none"/>
        </w:rPr>
      </w:pPr>
      <w:r>
        <w:rPr>
          <w:rFonts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月</w:t>
      </w:r>
      <w:r>
        <w:rPr>
          <w:rFonts w:ascii="Times New Roman" w:hAnsi="Times New Roman" w:eastAsia="宋体" w:cs="Times New Roman"/>
          <w:kern w:val="2"/>
          <w:sz w:val="21"/>
          <w:szCs w:val="21"/>
          <w:highlight w:val="none"/>
          <w:u w:val="single"/>
          <w:lang w:val="en-US" w:eastAsia="zh-CN" w:bidi="ar-SA"/>
        </w:rPr>
        <w:t xml:space="preserve">        </w:t>
      </w:r>
      <w:r>
        <w:rPr>
          <w:rFonts w:ascii="Times New Roman" w:hAnsi="Times New Roman" w:eastAsia="宋体" w:cs="Times New Roman"/>
          <w:kern w:val="2"/>
          <w:sz w:val="21"/>
          <w:szCs w:val="21"/>
          <w:highlight w:val="none"/>
          <w:lang w:val="en-US" w:eastAsia="zh-CN" w:bidi="ar-SA"/>
        </w:rPr>
        <w:t>日</w:t>
      </w:r>
      <w:r>
        <w:rPr>
          <w:rFonts w:ascii="宋体" w:hAnsi="宋体" w:eastAsia="宋体"/>
          <w:bCs w:val="0"/>
          <w:color w:val="auto"/>
          <w:sz w:val="21"/>
          <w:szCs w:val="22"/>
          <w:highlight w:val="none"/>
        </w:rPr>
        <w:br w:type="page"/>
      </w:r>
      <w:r>
        <w:rPr>
          <w:rFonts w:hint="eastAsia"/>
          <w:color w:val="auto"/>
          <w:highlight w:val="none"/>
        </w:rPr>
        <w:t>四、开标一览表</w:t>
      </w:r>
    </w:p>
    <w:tbl>
      <w:tblPr>
        <w:tblStyle w:val="36"/>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2471"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lang w:val="en-US" w:eastAsia="zh-CN"/>
              </w:rPr>
              <w:t>供应商</w:t>
            </w:r>
            <w:r>
              <w:rPr>
                <w:rFonts w:hint="eastAsia" w:ascii="宋体" w:hAnsi="宋体"/>
                <w:b/>
                <w:color w:val="auto"/>
                <w:sz w:val="24"/>
                <w:highlight w:val="none"/>
              </w:rPr>
              <w:t>全称</w:t>
            </w:r>
          </w:p>
        </w:tc>
        <w:tc>
          <w:tcPr>
            <w:tcW w:w="6667"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lang w:val="en-US" w:eastAsia="zh-CN"/>
              </w:rPr>
              <w:t>响应</w:t>
            </w:r>
            <w:r>
              <w:rPr>
                <w:rFonts w:hint="eastAsia" w:ascii="宋体" w:hAnsi="宋体"/>
                <w:b/>
                <w:color w:val="auto"/>
                <w:sz w:val="24"/>
                <w:highlight w:val="none"/>
              </w:rPr>
              <w:t>总价（元）</w:t>
            </w:r>
          </w:p>
        </w:tc>
        <w:tc>
          <w:tcPr>
            <w:tcW w:w="6667" w:type="dxa"/>
            <w:tcBorders>
              <w:top w:val="nil"/>
            </w:tcBorders>
            <w:vAlign w:val="center"/>
          </w:tcPr>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7" w:hRule="atLeast"/>
          <w:jc w:val="center"/>
        </w:trPr>
        <w:tc>
          <w:tcPr>
            <w:tcW w:w="2471"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667" w:type="dxa"/>
            <w:tcBorders>
              <w:top w:val="nil"/>
            </w:tcBorders>
            <w:vAlign w:val="center"/>
          </w:tcPr>
          <w:p>
            <w:pPr>
              <w:spacing w:line="360" w:lineRule="auto"/>
              <w:jc w:val="left"/>
              <w:rPr>
                <w:rFonts w:hint="default" w:ascii="宋体" w:hAnsi="宋体" w:eastAsia="宋体"/>
                <w:color w:val="auto"/>
                <w:sz w:val="24"/>
                <w:szCs w:val="28"/>
                <w:highlight w:val="none"/>
                <w:lang w:val="en-US" w:eastAsia="zh-CN"/>
              </w:rPr>
            </w:pPr>
          </w:p>
        </w:tc>
      </w:tr>
    </w:tbl>
    <w:p>
      <w:pPr>
        <w:rPr>
          <w:rFonts w:hint="eastAsia"/>
          <w:color w:val="auto"/>
          <w:highlight w:val="none"/>
          <w:lang w:eastAsia="zh-CN"/>
        </w:rPr>
      </w:pPr>
    </w:p>
    <w:p>
      <w:pPr>
        <w:spacing w:line="440" w:lineRule="exact"/>
        <w:jc w:val="left"/>
        <w:rPr>
          <w:rFonts w:hint="eastAsia" w:ascii="宋体" w:hAnsi="宋体" w:cs="宋体"/>
          <w:color w:val="auto"/>
          <w:sz w:val="24"/>
          <w:highlight w:val="none"/>
        </w:rPr>
      </w:pPr>
    </w:p>
    <w:p>
      <w:pPr>
        <w:spacing w:line="440" w:lineRule="exact"/>
        <w:jc w:val="left"/>
        <w:rPr>
          <w:rFonts w:ascii="宋体" w:hAnsi="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olor w:val="auto"/>
          <w:sz w:val="24"/>
          <w:highlight w:val="none"/>
        </w:rPr>
        <w:t>：</w:t>
      </w:r>
      <w:r>
        <w:rPr>
          <w:rFonts w:ascii="宋体" w:hAnsi="宋体"/>
          <w:color w:val="auto"/>
          <w:sz w:val="24"/>
          <w:highlight w:val="none"/>
        </w:rPr>
        <w:t>________________________</w:t>
      </w:r>
    </w:p>
    <w:p>
      <w:pPr>
        <w:rPr>
          <w:rFonts w:hint="eastAsia" w:ascii="宋体" w:hAnsi="宋体"/>
          <w:color w:val="auto"/>
          <w:sz w:val="24"/>
          <w:highlight w:val="none"/>
        </w:rPr>
      </w:pPr>
    </w:p>
    <w:p>
      <w:pPr>
        <w:rPr>
          <w:rFonts w:hint="eastAsia" w:ascii="宋体" w:hAnsi="宋体"/>
          <w:color w:val="auto"/>
          <w:sz w:val="24"/>
          <w:highlight w:val="none"/>
          <w:lang w:val="en-US" w:eastAsia="zh-CN"/>
        </w:rPr>
      </w:pPr>
    </w:p>
    <w:p>
      <w:pPr>
        <w:rPr>
          <w:rFonts w:hint="eastAsia" w:ascii="宋体" w:hAnsi="宋体"/>
          <w:color w:val="auto"/>
          <w:sz w:val="24"/>
          <w:highlight w:val="none"/>
          <w:u w:val="single"/>
        </w:rPr>
      </w:pPr>
      <w:r>
        <w:rPr>
          <w:rFonts w:hint="eastAsia" w:ascii="宋体" w:hAnsi="宋体"/>
          <w:color w:val="auto"/>
          <w:sz w:val="24"/>
          <w:highlight w:val="none"/>
          <w:lang w:val="en-US" w:eastAsia="zh-CN"/>
        </w:rPr>
        <w:t>供应商</w:t>
      </w: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rPr>
          <w:rFonts w:hint="eastAsia"/>
          <w:color w:val="auto"/>
          <w:highlight w:val="none"/>
        </w:rPr>
      </w:pPr>
    </w:p>
    <w:p>
      <w:pPr>
        <w:pStyle w:val="2"/>
        <w:jc w:val="center"/>
        <w:rPr>
          <w:color w:val="auto"/>
          <w:highlight w:val="none"/>
        </w:rPr>
        <w:sectPr>
          <w:footerReference r:id="rId3" w:type="default"/>
          <w:footerReference r:id="rId4" w:type="even"/>
          <w:footnotePr>
            <w:numFmt w:val="decimalEnclosedCircleChinese"/>
            <w:numRestart w:val="eachPage"/>
          </w:footnotePr>
          <w:type w:val="continuous"/>
          <w:pgSz w:w="11906" w:h="16838"/>
          <w:pgMar w:top="1588" w:right="1701" w:bottom="1418" w:left="1701" w:header="851" w:footer="851" w:gutter="0"/>
          <w:cols w:space="720" w:num="1"/>
          <w:docGrid w:linePitch="312" w:charSpace="0"/>
        </w:sectPr>
      </w:pPr>
    </w:p>
    <w:p>
      <w:pPr>
        <w:pStyle w:val="2"/>
        <w:jc w:val="center"/>
        <w:rPr>
          <w:rFonts w:hint="eastAsia"/>
          <w:color w:val="auto"/>
          <w:highlight w:val="none"/>
        </w:rPr>
      </w:pPr>
      <w:r>
        <w:rPr>
          <w:rFonts w:hint="eastAsia"/>
          <w:color w:val="auto"/>
          <w:highlight w:val="none"/>
          <w:lang w:val="en-US" w:eastAsia="zh-CN"/>
        </w:rPr>
        <w:t>4.1</w:t>
      </w:r>
      <w:r>
        <w:rPr>
          <w:color w:val="auto"/>
          <w:highlight w:val="none"/>
        </w:rPr>
        <w:t>、</w:t>
      </w:r>
      <w:r>
        <w:rPr>
          <w:rFonts w:hint="eastAsia"/>
          <w:color w:val="auto"/>
          <w:highlight w:val="none"/>
          <w:lang w:val="en-US" w:eastAsia="zh-CN"/>
        </w:rPr>
        <w:t>设备</w:t>
      </w:r>
      <w:r>
        <w:rPr>
          <w:rFonts w:hint="eastAsia"/>
          <w:color w:val="auto"/>
          <w:highlight w:val="none"/>
        </w:rPr>
        <w:t>分项报价表</w:t>
      </w:r>
    </w:p>
    <w:tbl>
      <w:tblPr>
        <w:tblStyle w:val="36"/>
        <w:tblW w:w="141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设备通用名称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注册证中的产品名称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注册证编号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生产厂家</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注册证中的</w:t>
            </w:r>
          </w:p>
          <w:p>
            <w:pPr>
              <w:jc w:val="center"/>
              <w:rPr>
                <w:rFonts w:ascii="宋体" w:hAnsi="宋体"/>
                <w:b/>
                <w:color w:val="auto"/>
                <w:szCs w:val="21"/>
                <w:highlight w:val="none"/>
              </w:rPr>
            </w:pPr>
            <w:r>
              <w:rPr>
                <w:rFonts w:hint="eastAsia" w:ascii="宋体" w:hAnsi="宋体"/>
                <w:b/>
                <w:color w:val="auto"/>
                <w:szCs w:val="21"/>
                <w:highlight w:val="none"/>
              </w:rPr>
              <w:t>产品型号和规格</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总价（元）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color w:val="auto"/>
                <w:szCs w:val="21"/>
                <w:highlight w:val="none"/>
              </w:rPr>
              <w:t>……</w:t>
            </w: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总计</w:t>
            </w:r>
          </w:p>
        </w:tc>
        <w:tc>
          <w:tcPr>
            <w:tcW w:w="11341"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adjustRightInd w:val="0"/>
        <w:snapToGrid w:val="0"/>
        <w:spacing w:line="320" w:lineRule="exact"/>
        <w:ind w:firstLine="424" w:firstLineChars="202"/>
        <w:rPr>
          <w:rFonts w:hint="eastAsia" w:ascii="宋体" w:hAnsi="宋体" w:eastAsia="宋体" w:cs="Times New Roman"/>
          <w:color w:val="auto"/>
          <w:szCs w:val="22"/>
          <w:highlight w:val="none"/>
        </w:rPr>
      </w:pPr>
    </w:p>
    <w:p>
      <w:pPr>
        <w:adjustRightInd w:val="0"/>
        <w:snapToGrid w:val="0"/>
        <w:spacing w:line="320" w:lineRule="exact"/>
        <w:ind w:firstLine="424" w:firstLineChars="202"/>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电子签章（公章）</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 xml:space="preserve">    </w:t>
      </w:r>
    </w:p>
    <w:p>
      <w:pPr>
        <w:adjustRightInd w:val="0"/>
        <w:snapToGrid w:val="0"/>
        <w:spacing w:before="48" w:beforeLines="20" w:after="48" w:afterLines="20" w:line="400" w:lineRule="exact"/>
        <w:rPr>
          <w:rFonts w:hint="eastAsia" w:ascii="宋体" w:hAnsi="宋体"/>
          <w:color w:val="auto"/>
          <w:szCs w:val="22"/>
          <w:highlight w:val="none"/>
        </w:rPr>
      </w:pPr>
      <w:r>
        <w:rPr>
          <w:rFonts w:hint="eastAsia" w:ascii="宋体" w:hAnsi="宋体"/>
          <w:color w:val="auto"/>
          <w:szCs w:val="22"/>
          <w:highlight w:val="none"/>
        </w:rPr>
        <w:t>注：</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注：1.如果按单价计算的结果与总价不一致，以单价为准修正总价。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2.本表包括标准件和专用工具。</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3.表中所列价格为货到用户现场价格。</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4.该表中“注册证产品名称”、“注册证编号”、“注册证规格型号”三栏所填写内容须与参比产品医疗器械注册证产品名称、编号及规格型号一致，否则成交后招标人有权按照投标文件中提供的“中华人民共和国医疗器械注册证”中相关信息进行修正，并按照修正内容签订合同。</w:t>
      </w:r>
    </w:p>
    <w:p>
      <w:pPr>
        <w:adjustRightInd w:val="0"/>
        <w:snapToGrid w:val="0"/>
        <w:spacing w:line="320" w:lineRule="exact"/>
        <w:ind w:firstLine="424" w:firstLineChars="202"/>
        <w:rPr>
          <w:rFonts w:hint="eastAsia" w:ascii="宋体" w:hAnsi="宋体"/>
          <w:color w:val="auto"/>
          <w:szCs w:val="22"/>
          <w:highlight w:val="none"/>
        </w:rPr>
      </w:pPr>
      <w:r>
        <w:rPr>
          <w:rFonts w:hint="eastAsia" w:ascii="宋体" w:hAnsi="宋体"/>
          <w:color w:val="auto"/>
          <w:szCs w:val="22"/>
          <w:highlight w:val="none"/>
        </w:rPr>
        <w:t>5.上表中内容如无法填报（例如某设备无注册证），则可以在对应的空格中填写“/”或“无”。</w:t>
      </w:r>
    </w:p>
    <w:p>
      <w:pPr>
        <w:pStyle w:val="2"/>
        <w:jc w:val="center"/>
        <w:rPr>
          <w:rFonts w:hint="eastAsia"/>
          <w:color w:val="auto"/>
          <w:highlight w:val="none"/>
        </w:rPr>
      </w:pPr>
    </w:p>
    <w:p>
      <w:pPr>
        <w:rPr>
          <w:rFonts w:hint="eastAsia"/>
          <w:color w:val="auto"/>
          <w:highlight w:val="none"/>
        </w:rPr>
      </w:pPr>
    </w:p>
    <w:p>
      <w:pPr>
        <w:rPr>
          <w:color w:val="auto"/>
          <w:highlight w:val="none"/>
        </w:rPr>
        <w:sectPr>
          <w:footnotePr>
            <w:numFmt w:val="decimalEnclosedCircleChinese"/>
            <w:numRestart w:val="eachPage"/>
          </w:footnotePr>
          <w:pgSz w:w="16838" w:h="11906" w:orient="landscape"/>
          <w:pgMar w:top="1701" w:right="1418" w:bottom="1701" w:left="1588" w:header="851" w:footer="851" w:gutter="0"/>
          <w:cols w:space="720" w:num="1"/>
          <w:docGrid w:linePitch="312" w:charSpace="0"/>
        </w:sectPr>
      </w:pPr>
    </w:p>
    <w:p>
      <w:pPr>
        <w:pStyle w:val="4"/>
        <w:spacing w:after="0"/>
        <w:jc w:val="center"/>
        <w:rPr>
          <w:rFonts w:hint="eastAsia" w:ascii="黑体" w:hAnsi="Calibri" w:eastAsia="黑体" w:cs="Times New Roman"/>
          <w:b w:val="0"/>
          <w:color w:val="auto"/>
          <w:kern w:val="2"/>
          <w:sz w:val="28"/>
          <w:szCs w:val="20"/>
          <w:highlight w:val="none"/>
          <w:lang w:val="en-US" w:eastAsia="zh-CN" w:bidi="ar-SA"/>
        </w:rPr>
      </w:pPr>
      <w:r>
        <w:rPr>
          <w:rFonts w:hint="eastAsia" w:ascii="黑体" w:hAnsi="Calibri" w:eastAsia="黑体" w:cs="Times New Roman"/>
          <w:b w:val="0"/>
          <w:color w:val="auto"/>
          <w:kern w:val="2"/>
          <w:sz w:val="28"/>
          <w:szCs w:val="20"/>
          <w:highlight w:val="none"/>
          <w:lang w:val="en-US" w:eastAsia="zh-CN" w:bidi="ar-SA"/>
        </w:rPr>
        <w:t>五、资格审查资料</w:t>
      </w:r>
    </w:p>
    <w:p>
      <w:pPr>
        <w:pStyle w:val="2"/>
        <w:spacing w:before="20" w:after="0"/>
        <w:ind w:firstLine="137"/>
        <w:jc w:val="center"/>
        <w:rPr>
          <w:rFonts w:ascii="Times New Roman" w:hAnsi="Times New Roman"/>
          <w:color w:val="auto"/>
          <w:highlight w:val="none"/>
        </w:rPr>
      </w:pPr>
      <w:bookmarkStart w:id="406" w:name="_Toc2372"/>
      <w:r>
        <w:rPr>
          <w:rFonts w:ascii="Times New Roman" w:hAnsi="Times New Roman"/>
          <w:color w:val="auto"/>
          <w:highlight w:val="none"/>
        </w:rPr>
        <w:t>（一）基本情况</w:t>
      </w:r>
      <w:bookmarkEnd w:id="406"/>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（1）项和第3.5（2）项</w:t>
      </w:r>
      <w:r>
        <w:rPr>
          <w:rFonts w:ascii="Times New Roman" w:hAnsi="Times New Roman"/>
          <w:color w:val="auto"/>
          <w:highlight w:val="none"/>
        </w:rPr>
        <w:t>的要求</w:t>
      </w:r>
      <w:r>
        <w:rPr>
          <w:rFonts w:hint="eastAsia" w:ascii="Times New Roman" w:hAnsi="Times New Roman"/>
          <w:color w:val="auto"/>
          <w:highlight w:val="none"/>
        </w:rPr>
        <w:t>提供主体资格证明及相关资质</w:t>
      </w:r>
      <w:r>
        <w:rPr>
          <w:rFonts w:ascii="Times New Roman" w:hAnsi="Times New Roman"/>
          <w:color w:val="auto"/>
          <w:highlight w:val="none"/>
        </w:rPr>
        <w:t>证明材料。</w:t>
      </w:r>
    </w:p>
    <w:p>
      <w:pPr>
        <w:snapToGrid w:val="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供应商还应根据供应商须知前附表第3.5（5）项、第3.5（7）项和第3.5（8）项的要求提供其他相关证明材料。</w:t>
      </w:r>
    </w:p>
    <w:p>
      <w:pPr>
        <w:pStyle w:val="2"/>
        <w:ind w:firstLine="137"/>
        <w:jc w:val="center"/>
        <w:rPr>
          <w:rFonts w:ascii="Times New Roman" w:hAnsi="Times New Roman"/>
          <w:color w:val="auto"/>
          <w:highlight w:val="none"/>
        </w:rPr>
      </w:pPr>
      <w:bookmarkStart w:id="407" w:name="_Toc27623"/>
      <w:r>
        <w:rPr>
          <w:rFonts w:ascii="Times New Roman" w:hAnsi="Times New Roman"/>
          <w:color w:val="auto"/>
          <w:highlight w:val="none"/>
        </w:rPr>
        <w:t>（二）近年财务状况</w:t>
      </w:r>
      <w:bookmarkEnd w:id="407"/>
    </w:p>
    <w:p>
      <w:pPr>
        <w:topLinePunct/>
        <w:spacing w:line="440" w:lineRule="exact"/>
        <w:ind w:firstLine="420" w:firstLineChars="200"/>
        <w:rPr>
          <w:rFonts w:ascii="Times New Roman" w:hAnsi="Times New Roman"/>
          <w:color w:val="auto"/>
          <w:sz w:val="20"/>
          <w:highlight w:val="none"/>
        </w:rPr>
      </w:pPr>
      <w:r>
        <w:rPr>
          <w:rFonts w:hint="eastAsia" w:ascii="Times New Roman" w:hAnsi="Times New Roman"/>
          <w:color w:val="auto"/>
          <w:highlight w:val="none"/>
        </w:rPr>
        <w:t>供应商</w:t>
      </w:r>
      <w:r>
        <w:rPr>
          <w:rFonts w:ascii="Times New Roman" w:hAnsi="Times New Roman"/>
          <w:color w:val="auto"/>
          <w:highlight w:val="none"/>
        </w:rPr>
        <w:t>应根据</w:t>
      </w:r>
      <w:r>
        <w:rPr>
          <w:rFonts w:hint="eastAsia" w:ascii="Times New Roman" w:hAnsi="Times New Roman"/>
          <w:color w:val="auto"/>
          <w:highlight w:val="none"/>
        </w:rPr>
        <w:t>供应商</w:t>
      </w:r>
      <w:r>
        <w:rPr>
          <w:rFonts w:ascii="Times New Roman" w:hAnsi="Times New Roman"/>
          <w:color w:val="auto"/>
          <w:highlight w:val="none"/>
        </w:rPr>
        <w:t>须知第3.5</w:t>
      </w:r>
      <w:r>
        <w:rPr>
          <w:rFonts w:hint="eastAsia" w:ascii="Times New Roman" w:hAnsi="Times New Roman"/>
          <w:color w:val="auto"/>
          <w:highlight w:val="none"/>
        </w:rPr>
        <w:t>（3）项</w:t>
      </w:r>
      <w:r>
        <w:rPr>
          <w:rFonts w:ascii="Times New Roman" w:hAnsi="Times New Roman"/>
          <w:color w:val="auto"/>
          <w:highlight w:val="none"/>
        </w:rPr>
        <w:t>的要求</w:t>
      </w:r>
      <w:r>
        <w:rPr>
          <w:rFonts w:hint="eastAsia" w:ascii="Times New Roman" w:hAnsi="Times New Roman"/>
          <w:color w:val="auto"/>
          <w:highlight w:val="none"/>
        </w:rPr>
        <w:t>提供</w:t>
      </w:r>
      <w:r>
        <w:rPr>
          <w:rFonts w:ascii="Times New Roman" w:hAnsi="Times New Roman"/>
          <w:color w:val="auto"/>
          <w:highlight w:val="none"/>
        </w:rPr>
        <w:t>近年</w:t>
      </w:r>
      <w:r>
        <w:rPr>
          <w:rFonts w:hint="eastAsia"/>
          <w:color w:val="auto"/>
          <w:highlight w:val="none"/>
        </w:rPr>
        <w:t>财务会计报表</w:t>
      </w:r>
      <w:r>
        <w:rPr>
          <w:rFonts w:hint="eastAsia" w:ascii="Times New Roman" w:hAnsi="Times New Roman"/>
          <w:color w:val="auto"/>
          <w:highlight w:val="none"/>
        </w:rPr>
        <w:t>复印件</w:t>
      </w:r>
      <w:r>
        <w:rPr>
          <w:rFonts w:ascii="Times New Roman" w:hAnsi="Times New Roman"/>
          <w:color w:val="auto"/>
          <w:highlight w:val="none"/>
        </w:rPr>
        <w:t>。</w:t>
      </w:r>
    </w:p>
    <w:p>
      <w:pPr>
        <w:pStyle w:val="2"/>
        <w:ind w:firstLine="137"/>
        <w:jc w:val="center"/>
        <w:rPr>
          <w:rFonts w:ascii="Times New Roman" w:hAnsi="Times New Roman"/>
          <w:color w:val="auto"/>
          <w:highlight w:val="none"/>
        </w:rPr>
      </w:pPr>
      <w:bookmarkStart w:id="408" w:name="_Toc17769"/>
      <w:r>
        <w:rPr>
          <w:rFonts w:ascii="Times New Roman" w:hAnsi="Times New Roman"/>
          <w:color w:val="auto"/>
          <w:highlight w:val="none"/>
        </w:rPr>
        <w:t>（三）近年的类似项目情况表</w:t>
      </w:r>
      <w:bookmarkEnd w:id="408"/>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hint="eastAsia" w:ascii="Times New Roman" w:hAnsi="Times New Roman"/>
                <w:color w:val="auto"/>
                <w:szCs w:val="21"/>
                <w:highlight w:val="none"/>
              </w:rPr>
              <w:t>货物</w:t>
            </w:r>
            <w:r>
              <w:rPr>
                <w:rFonts w:ascii="Times New Roman" w:hAnsi="Times New Roman"/>
                <w:color w:val="auto"/>
                <w:szCs w:val="21"/>
                <w:highlight w:val="none"/>
              </w:rPr>
              <w:t>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规格和型号</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买方名称</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买方联系人及电话</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合同价格</w:t>
            </w:r>
          </w:p>
        </w:tc>
        <w:tc>
          <w:tcPr>
            <w:tcW w:w="6253" w:type="dxa"/>
            <w:vAlign w:val="top"/>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项目概况及</w:t>
            </w:r>
            <w:r>
              <w:rPr>
                <w:rFonts w:hint="eastAsia" w:ascii="Times New Roman" w:hAnsi="Times New Roman"/>
                <w:color w:val="auto"/>
                <w:szCs w:val="21"/>
                <w:highlight w:val="none"/>
              </w:rPr>
              <w:t>供应商</w:t>
            </w:r>
            <w:r>
              <w:rPr>
                <w:rFonts w:ascii="Times New Roman" w:hAnsi="Times New Roman"/>
                <w:color w:val="auto"/>
                <w:szCs w:val="21"/>
                <w:highlight w:val="none"/>
              </w:rPr>
              <w:t>履约情况</w:t>
            </w:r>
          </w:p>
        </w:tc>
        <w:tc>
          <w:tcPr>
            <w:tcW w:w="6253" w:type="dxa"/>
            <w:vAlign w:val="top"/>
          </w:tcPr>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6253" w:type="dxa"/>
            <w:vAlign w:val="top"/>
          </w:tcPr>
          <w:p>
            <w:pPr>
              <w:topLinePunct/>
              <w:spacing w:line="440" w:lineRule="exact"/>
              <w:rPr>
                <w:rFonts w:ascii="Times New Roman" w:hAnsi="Times New Roman"/>
                <w:color w:val="auto"/>
                <w:highlight w:val="none"/>
              </w:rPr>
            </w:pPr>
          </w:p>
        </w:tc>
      </w:tr>
    </w:tbl>
    <w:p>
      <w:pPr>
        <w:pStyle w:val="2"/>
        <w:jc w:val="center"/>
        <w:rPr>
          <w:rFonts w:hint="eastAsia" w:ascii="宋体" w:hAnsi="宋体"/>
          <w:b/>
          <w:bCs/>
          <w:color w:val="auto"/>
          <w:sz w:val="28"/>
          <w:szCs w:val="28"/>
          <w:highlight w:val="none"/>
        </w:rPr>
      </w:pPr>
      <w:r>
        <w:rPr>
          <w:rFonts w:ascii="Times New Roman" w:hAnsi="Times New Roman" w:eastAsia="宋体" w:cs="Times New Roman"/>
          <w:color w:val="auto"/>
          <w:kern w:val="2"/>
          <w:sz w:val="21"/>
          <w:szCs w:val="21"/>
          <w:highlight w:val="none"/>
          <w:lang w:val="en-US" w:eastAsia="zh-CN" w:bidi="ar-SA"/>
        </w:rPr>
        <w:t>注：</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应根据</w:t>
      </w:r>
      <w:r>
        <w:rPr>
          <w:rFonts w:hint="eastAsia" w:ascii="Times New Roman" w:hAnsi="Times New Roman" w:eastAsia="宋体" w:cs="Times New Roman"/>
          <w:color w:val="auto"/>
          <w:kern w:val="2"/>
          <w:sz w:val="21"/>
          <w:szCs w:val="21"/>
          <w:highlight w:val="none"/>
          <w:lang w:val="en-US" w:eastAsia="zh-CN" w:bidi="ar-SA"/>
        </w:rPr>
        <w:t>供应商</w:t>
      </w:r>
      <w:r>
        <w:rPr>
          <w:rFonts w:ascii="Times New Roman" w:hAnsi="Times New Roman" w:eastAsia="宋体" w:cs="Times New Roman"/>
          <w:color w:val="auto"/>
          <w:kern w:val="2"/>
          <w:sz w:val="21"/>
          <w:szCs w:val="21"/>
          <w:highlight w:val="none"/>
          <w:lang w:val="en-US" w:eastAsia="zh-CN" w:bidi="ar-SA"/>
        </w:rPr>
        <w:t>须知第3.5</w:t>
      </w:r>
      <w:r>
        <w:rPr>
          <w:rFonts w:hint="eastAsia" w:ascii="Times New Roman" w:hAnsi="Times New Roman" w:eastAsia="宋体" w:cs="Times New Roman"/>
          <w:color w:val="auto"/>
          <w:kern w:val="2"/>
          <w:sz w:val="21"/>
          <w:szCs w:val="21"/>
          <w:highlight w:val="none"/>
          <w:lang w:val="en-US" w:eastAsia="zh-CN" w:bidi="ar-SA"/>
        </w:rPr>
        <w:t>（4）项</w:t>
      </w:r>
      <w:r>
        <w:rPr>
          <w:rFonts w:ascii="Times New Roman" w:hAnsi="Times New Roman" w:eastAsia="宋体" w:cs="Times New Roman"/>
          <w:color w:val="auto"/>
          <w:kern w:val="2"/>
          <w:sz w:val="21"/>
          <w:szCs w:val="21"/>
          <w:highlight w:val="none"/>
          <w:lang w:val="en-US" w:eastAsia="zh-CN" w:bidi="ar-SA"/>
        </w:rPr>
        <w:t>的要求在本表后附相关证明材料。</w:t>
      </w:r>
      <w:r>
        <w:rPr>
          <w:snapToGrid w:val="0"/>
          <w:color w:val="auto"/>
          <w:kern w:val="0"/>
          <w:highlight w:val="none"/>
        </w:rPr>
        <w:br w:type="page"/>
      </w:r>
      <w:bookmarkEnd w:id="385"/>
      <w:bookmarkEnd w:id="386"/>
      <w:bookmarkEnd w:id="387"/>
      <w:bookmarkEnd w:id="388"/>
      <w:bookmarkEnd w:id="389"/>
      <w:bookmarkStart w:id="409" w:name="_Toc421917020"/>
      <w:bookmarkStart w:id="410" w:name="_Toc535241148"/>
      <w:bookmarkStart w:id="411" w:name="_Toc460227145"/>
      <w:bookmarkStart w:id="412" w:name="_Toc390411639"/>
      <w:bookmarkStart w:id="413" w:name="_Toc460660260"/>
      <w:r>
        <w:rPr>
          <w:rFonts w:hint="eastAsia"/>
          <w:color w:val="auto"/>
          <w:highlight w:val="none"/>
          <w:lang w:val="en-US" w:eastAsia="zh-CN"/>
        </w:rPr>
        <w:t>六</w:t>
      </w:r>
      <w:r>
        <w:rPr>
          <w:rFonts w:hint="eastAsia"/>
          <w:color w:val="auto"/>
          <w:highlight w:val="none"/>
        </w:rPr>
        <w:t>、</w:t>
      </w:r>
      <w:bookmarkEnd w:id="409"/>
      <w:bookmarkEnd w:id="410"/>
      <w:bookmarkEnd w:id="411"/>
      <w:bookmarkEnd w:id="412"/>
      <w:bookmarkEnd w:id="413"/>
      <w:r>
        <w:rPr>
          <w:rFonts w:hint="eastAsia" w:cs="Times New Roman"/>
          <w:bCs/>
          <w:color w:val="auto"/>
          <w:highlight w:val="none"/>
        </w:rPr>
        <w:t>响应/偏离表</w:t>
      </w:r>
    </w:p>
    <w:p>
      <w:pPr>
        <w:pStyle w:val="60"/>
        <w:rPr>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.1</w:t>
      </w:r>
      <w:r>
        <w:rPr>
          <w:color w:val="auto"/>
          <w:sz w:val="24"/>
          <w:highlight w:val="none"/>
        </w:rPr>
        <w:t xml:space="preserve"> </w:t>
      </w:r>
      <w:r>
        <w:rPr>
          <w:rFonts w:hint="eastAsia" w:ascii="宋体"/>
          <w:color w:val="auto"/>
          <w:sz w:val="24"/>
          <w:highlight w:val="none"/>
        </w:rPr>
        <w:t>技术规格响应/偏离表</w:t>
      </w:r>
      <w:r>
        <w:rPr>
          <w:rFonts w:ascii="宋体"/>
          <w:color w:val="auto"/>
          <w:sz w:val="24"/>
          <w:highlight w:val="none"/>
        </w:rPr>
        <w:t xml:space="preserve"> </w:t>
      </w:r>
      <w:r>
        <w:rPr>
          <w:rFonts w:hint="eastAsia"/>
          <w:color w:val="auto"/>
          <w:sz w:val="24"/>
          <w:highlight w:val="none"/>
        </w:rPr>
        <w:t>（参见第</w:t>
      </w:r>
      <w:r>
        <w:rPr>
          <w:rFonts w:hint="eastAsia"/>
          <w:color w:val="auto"/>
          <w:sz w:val="24"/>
          <w:highlight w:val="none"/>
          <w:lang w:val="en-US" w:eastAsia="zh-CN"/>
        </w:rPr>
        <w:t>五</w:t>
      </w:r>
      <w:r>
        <w:rPr>
          <w:rFonts w:hint="eastAsia"/>
          <w:color w:val="auto"/>
          <w:sz w:val="24"/>
          <w:highlight w:val="none"/>
        </w:rPr>
        <w:t>章</w:t>
      </w:r>
      <w:r>
        <w:rPr>
          <w:rFonts w:hint="eastAsia"/>
          <w:color w:val="auto"/>
          <w:sz w:val="24"/>
          <w:highlight w:val="none"/>
          <w:lang w:val="en-US" w:eastAsia="zh-CN"/>
        </w:rPr>
        <w:t>采购需求</w:t>
      </w:r>
      <w:r>
        <w:rPr>
          <w:rFonts w:hint="eastAsia"/>
          <w:color w:val="auto"/>
          <w:sz w:val="24"/>
          <w:highlight w:val="none"/>
        </w:rPr>
        <w:t>）</w:t>
      </w:r>
    </w:p>
    <w:p>
      <w:pPr>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94"/>
        <w:gridCol w:w="1656"/>
        <w:gridCol w:w="1656"/>
        <w:gridCol w:w="1420"/>
        <w:gridCol w:w="1183"/>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trPr>
        <w:tc>
          <w:tcPr>
            <w:tcW w:w="1087"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序号</w:t>
            </w:r>
          </w:p>
        </w:tc>
        <w:tc>
          <w:tcPr>
            <w:tcW w:w="1994"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货物名称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招标规格及技术要求（参数）</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投标规格及技术响应</w:t>
            </w:r>
          </w:p>
        </w:tc>
        <w:tc>
          <w:tcPr>
            <w:tcW w:w="1420" w:type="dxa"/>
            <w:tcBorders>
              <w:top w:val="single" w:color="auto" w:sz="4" w:space="0"/>
              <w:left w:val="single" w:color="auto" w:sz="4" w:space="0"/>
              <w:bottom w:val="single" w:color="auto" w:sz="4" w:space="0"/>
              <w:right w:val="single" w:color="auto" w:sz="4" w:space="0"/>
            </w:tcBorders>
            <w:vAlign w:val="top"/>
          </w:tcPr>
          <w:p>
            <w:pPr>
              <w:jc w:val="center"/>
              <w:rPr>
                <w:rFonts w:ascii="宋体"/>
                <w:color w:val="auto"/>
                <w:sz w:val="24"/>
                <w:highlight w:val="none"/>
              </w:rPr>
            </w:pPr>
            <w:r>
              <w:rPr>
                <w:rFonts w:hint="eastAsia" w:ascii="宋体"/>
                <w:color w:val="auto"/>
                <w:sz w:val="24"/>
                <w:highlight w:val="none"/>
              </w:rPr>
              <w:t>响应/偏离</w:t>
            </w:r>
          </w:p>
        </w:tc>
        <w:tc>
          <w:tcPr>
            <w:tcW w:w="1183" w:type="dxa"/>
            <w:tcBorders>
              <w:top w:val="single" w:color="auto" w:sz="4" w:space="0"/>
              <w:left w:val="single" w:color="auto" w:sz="4" w:space="0"/>
              <w:bottom w:val="single" w:color="auto" w:sz="4" w:space="0"/>
              <w:right w:val="single" w:color="auto" w:sz="4" w:space="0"/>
            </w:tcBorders>
            <w:vAlign w:val="top"/>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994"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087"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r>
              <w:rPr>
                <w:rFonts w:ascii="宋体"/>
                <w:color w:val="auto"/>
                <w:sz w:val="24"/>
                <w:highlight w:val="none"/>
              </w:rPr>
              <w:t>……</w:t>
            </w:r>
          </w:p>
        </w:tc>
        <w:tc>
          <w:tcPr>
            <w:tcW w:w="1994" w:type="dxa"/>
            <w:tcBorders>
              <w:top w:val="single" w:color="auto" w:sz="4" w:space="0"/>
              <w:left w:val="single" w:color="auto" w:sz="4" w:space="0"/>
              <w:bottom w:val="single" w:color="auto" w:sz="4" w:space="0"/>
              <w:right w:val="single" w:color="auto" w:sz="4" w:space="0"/>
            </w:tcBorders>
            <w:vAlign w:val="top"/>
          </w:tcPr>
          <w:p>
            <w:pPr>
              <w:rPr>
                <w:rFonts w:hint="eastAsia"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656"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top"/>
          </w:tcPr>
          <w:p>
            <w:pPr>
              <w:rPr>
                <w:rFonts w:ascii="宋体"/>
                <w:color w:val="auto"/>
                <w:sz w:val="24"/>
                <w:highlight w:val="none"/>
              </w:rPr>
            </w:pPr>
          </w:p>
        </w:tc>
      </w:tr>
    </w:tbl>
    <w:p>
      <w:pPr>
        <w:pStyle w:val="60"/>
        <w:rPr>
          <w:color w:val="auto"/>
          <w:szCs w:val="24"/>
          <w:highlight w:val="none"/>
        </w:rPr>
      </w:pPr>
    </w:p>
    <w:p>
      <w:pPr>
        <w:pStyle w:val="12"/>
        <w:rPr>
          <w:rFonts w:hint="eastAsia"/>
          <w:color w:val="auto"/>
          <w:highlight w:val="none"/>
        </w:rPr>
      </w:pPr>
    </w:p>
    <w:p>
      <w:pPr>
        <w:rPr>
          <w:color w:val="auto"/>
          <w:highlight w:val="none"/>
        </w:rPr>
      </w:pPr>
      <w:r>
        <w:rPr>
          <w:rFonts w:hint="eastAsia" w:ascii="宋体"/>
          <w:color w:val="auto"/>
          <w:sz w:val="24"/>
          <w:highlight w:val="none"/>
          <w:lang w:val="en-US" w:eastAsia="zh-CN"/>
        </w:rPr>
        <w:t>6</w:t>
      </w:r>
      <w:r>
        <w:rPr>
          <w:rFonts w:ascii="宋体"/>
          <w:color w:val="auto"/>
          <w:sz w:val="24"/>
          <w:highlight w:val="none"/>
        </w:rPr>
        <w:t xml:space="preserve">.2 </w:t>
      </w:r>
      <w:r>
        <w:rPr>
          <w:rFonts w:hint="eastAsia" w:ascii="宋体"/>
          <w:color w:val="auto"/>
          <w:sz w:val="24"/>
          <w:highlight w:val="none"/>
        </w:rPr>
        <w:t>商务条款响应/偏离表</w:t>
      </w:r>
      <w:r>
        <w:rPr>
          <w:rFonts w:ascii="宋体"/>
          <w:color w:val="auto"/>
          <w:sz w:val="24"/>
          <w:highlight w:val="none"/>
        </w:rPr>
        <w:t xml:space="preserve"> </w:t>
      </w:r>
      <w:r>
        <w:rPr>
          <w:rFonts w:hint="eastAsia"/>
          <w:color w:val="auto"/>
          <w:sz w:val="24"/>
          <w:highlight w:val="none"/>
        </w:rPr>
        <w:t>（参见</w:t>
      </w:r>
      <w:r>
        <w:rPr>
          <w:rFonts w:hint="eastAsia"/>
          <w:color w:val="auto"/>
          <w:sz w:val="24"/>
          <w:highlight w:val="none"/>
          <w:lang w:val="en-US" w:eastAsia="zh-CN"/>
        </w:rPr>
        <w:t>询比文件</w:t>
      </w:r>
      <w:r>
        <w:rPr>
          <w:rFonts w:hint="eastAsia"/>
          <w:color w:val="auto"/>
          <w:sz w:val="24"/>
          <w:highlight w:val="none"/>
        </w:rPr>
        <w:t>）</w:t>
      </w:r>
    </w:p>
    <w:p>
      <w:pPr>
        <w:ind w:firstLine="240" w:firstLineChars="100"/>
        <w:rPr>
          <w:color w:val="auto"/>
          <w:highlight w:val="none"/>
        </w:rPr>
      </w:pPr>
      <w:r>
        <w:rPr>
          <w:rFonts w:hint="eastAsia" w:ascii="宋体"/>
          <w:color w:val="auto"/>
          <w:sz w:val="24"/>
          <w:highlight w:val="none"/>
        </w:rPr>
        <w:t>包号：</w:t>
      </w:r>
    </w:p>
    <w:tbl>
      <w:tblPr>
        <w:tblStyle w:val="36"/>
        <w:tblW w:w="89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215"/>
        <w:gridCol w:w="1879"/>
        <w:gridCol w:w="1537"/>
        <w:gridCol w:w="115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221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序号</w:t>
            </w:r>
          </w:p>
        </w:tc>
        <w:tc>
          <w:tcPr>
            <w:tcW w:w="2215"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招标文件的</w:t>
            </w:r>
          </w:p>
          <w:p>
            <w:pPr>
              <w:ind w:left="240" w:hanging="240" w:hangingChars="100"/>
              <w:jc w:val="center"/>
              <w:rPr>
                <w:color w:val="auto"/>
                <w:highlight w:val="none"/>
              </w:rPr>
            </w:pPr>
            <w:r>
              <w:rPr>
                <w:rFonts w:hint="eastAsia" w:ascii="宋体"/>
                <w:color w:val="auto"/>
                <w:sz w:val="24"/>
                <w:highlight w:val="none"/>
              </w:rPr>
              <w:t>商务条款</w:t>
            </w:r>
          </w:p>
        </w:tc>
        <w:tc>
          <w:tcPr>
            <w:tcW w:w="1879" w:type="dxa"/>
            <w:tcBorders>
              <w:top w:val="single" w:color="auto" w:sz="4" w:space="0"/>
              <w:left w:val="single" w:color="auto" w:sz="4" w:space="0"/>
              <w:right w:val="single" w:color="auto" w:sz="4" w:space="0"/>
            </w:tcBorders>
            <w:vAlign w:val="center"/>
          </w:tcPr>
          <w:p>
            <w:pPr>
              <w:ind w:left="240" w:hanging="240" w:hangingChars="100"/>
              <w:jc w:val="center"/>
              <w:rPr>
                <w:rFonts w:ascii="宋体"/>
                <w:color w:val="auto"/>
                <w:sz w:val="24"/>
                <w:highlight w:val="none"/>
              </w:rPr>
            </w:pPr>
            <w:r>
              <w:rPr>
                <w:rFonts w:hint="eastAsia" w:ascii="宋体"/>
                <w:color w:val="auto"/>
                <w:sz w:val="24"/>
                <w:highlight w:val="none"/>
              </w:rPr>
              <w:t>投标文件的</w:t>
            </w:r>
          </w:p>
          <w:p>
            <w:pPr>
              <w:ind w:left="240" w:hanging="240" w:hangingChars="100"/>
              <w:jc w:val="center"/>
              <w:rPr>
                <w:color w:val="auto"/>
                <w:highlight w:val="none"/>
              </w:rPr>
            </w:pPr>
            <w:r>
              <w:rPr>
                <w:rFonts w:hint="eastAsia" w:ascii="宋体"/>
                <w:color w:val="auto"/>
                <w:sz w:val="24"/>
                <w:highlight w:val="none"/>
              </w:rPr>
              <w:t>商务条款</w:t>
            </w:r>
          </w:p>
        </w:tc>
        <w:tc>
          <w:tcPr>
            <w:tcW w:w="1537" w:type="dxa"/>
            <w:tcBorders>
              <w:top w:val="single" w:color="auto" w:sz="4" w:space="0"/>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响应/偏离</w:t>
            </w:r>
          </w:p>
        </w:tc>
        <w:tc>
          <w:tcPr>
            <w:tcW w:w="1150" w:type="dxa"/>
            <w:tcBorders>
              <w:top w:val="single" w:color="auto" w:sz="4" w:space="0"/>
              <w:left w:val="single" w:color="auto" w:sz="4" w:space="0"/>
              <w:right w:val="single" w:color="auto" w:sz="4" w:space="0"/>
            </w:tcBorders>
            <w:vAlign w:val="center"/>
          </w:tcPr>
          <w:p>
            <w:pPr>
              <w:jc w:val="center"/>
              <w:rPr>
                <w:color w:val="auto"/>
                <w:highlight w:val="none"/>
              </w:rPr>
            </w:pPr>
            <w:r>
              <w:rPr>
                <w:rFonts w:hint="eastAsia" w:ascii="宋体"/>
                <w:color w:val="auto"/>
                <w:sz w:val="24"/>
                <w:highlight w:val="none"/>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hint="eastAsia" w:ascii="宋体"/>
                <w:color w:val="auto"/>
                <w:sz w:val="24"/>
                <w:highlight w:val="none"/>
              </w:rPr>
            </w:pPr>
            <w:r>
              <w:rPr>
                <w:rFonts w:hint="eastAsia" w:ascii="宋体"/>
                <w:color w:val="auto"/>
                <w:sz w:val="24"/>
                <w:highlight w:val="none"/>
              </w:rPr>
              <w:t>交货期</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付款方式</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2215"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highlight w:val="none"/>
              </w:rPr>
            </w:pPr>
          </w:p>
        </w:tc>
        <w:tc>
          <w:tcPr>
            <w:tcW w:w="2215" w:type="dxa"/>
            <w:tcBorders>
              <w:left w:val="single" w:color="auto" w:sz="4" w:space="0"/>
              <w:right w:val="single" w:color="auto" w:sz="4" w:space="0"/>
            </w:tcBorders>
            <w:vAlign w:val="center"/>
          </w:tcPr>
          <w:p>
            <w:pPr>
              <w:jc w:val="center"/>
              <w:rPr>
                <w:rFonts w:ascii="宋体"/>
                <w:color w:val="auto"/>
                <w:sz w:val="24"/>
                <w:highlight w:val="none"/>
              </w:rPr>
            </w:pPr>
            <w:r>
              <w:rPr>
                <w:rFonts w:hint="eastAsia" w:ascii="宋体"/>
                <w:color w:val="auto"/>
                <w:sz w:val="24"/>
                <w:highlight w:val="none"/>
              </w:rPr>
              <w:t>......</w:t>
            </w:r>
          </w:p>
        </w:tc>
        <w:tc>
          <w:tcPr>
            <w:tcW w:w="1879" w:type="dxa"/>
            <w:tcBorders>
              <w:left w:val="single" w:color="auto" w:sz="4" w:space="0"/>
              <w:right w:val="single" w:color="auto" w:sz="4" w:space="0"/>
            </w:tcBorders>
            <w:vAlign w:val="center"/>
          </w:tcPr>
          <w:p>
            <w:pPr>
              <w:rPr>
                <w:rFonts w:ascii="宋体"/>
                <w:color w:val="auto"/>
                <w:sz w:val="24"/>
                <w:highlight w:val="none"/>
              </w:rPr>
            </w:pPr>
          </w:p>
        </w:tc>
        <w:tc>
          <w:tcPr>
            <w:tcW w:w="1537" w:type="dxa"/>
            <w:tcBorders>
              <w:left w:val="single" w:color="auto" w:sz="4" w:space="0"/>
              <w:right w:val="single" w:color="auto" w:sz="4" w:space="0"/>
            </w:tcBorders>
            <w:vAlign w:val="center"/>
          </w:tcPr>
          <w:p>
            <w:pPr>
              <w:rPr>
                <w:rFonts w:ascii="宋体"/>
                <w:color w:val="auto"/>
                <w:sz w:val="24"/>
                <w:highlight w:val="none"/>
              </w:rPr>
            </w:pPr>
          </w:p>
        </w:tc>
        <w:tc>
          <w:tcPr>
            <w:tcW w:w="1150" w:type="dxa"/>
            <w:tcBorders>
              <w:left w:val="single" w:color="auto" w:sz="4" w:space="0"/>
              <w:right w:val="single" w:color="auto" w:sz="4" w:space="0"/>
            </w:tcBorders>
            <w:vAlign w:val="center"/>
          </w:tcPr>
          <w:p>
            <w:pPr>
              <w:rPr>
                <w:rFonts w:ascii="宋体"/>
                <w:color w:val="auto"/>
                <w:sz w:val="24"/>
                <w:highlight w:val="none"/>
              </w:rPr>
            </w:pPr>
          </w:p>
        </w:tc>
      </w:tr>
    </w:tbl>
    <w:p>
      <w:pPr>
        <w:pStyle w:val="60"/>
        <w:rPr>
          <w:color w:val="auto"/>
          <w:highlight w:val="none"/>
        </w:rPr>
      </w:pPr>
    </w:p>
    <w:p>
      <w:pPr>
        <w:spacing w:line="360" w:lineRule="auto"/>
        <w:rPr>
          <w:color w:val="auto"/>
          <w:highlight w:val="none"/>
        </w:rPr>
      </w:pPr>
      <w:r>
        <w:rPr>
          <w:rFonts w:hint="eastAsia" w:ascii="宋体"/>
          <w:color w:val="auto"/>
          <w:sz w:val="24"/>
          <w:highlight w:val="none"/>
        </w:rPr>
        <w:t>投标人名称：</w:t>
      </w:r>
      <w:r>
        <w:rPr>
          <w:rFonts w:ascii="宋体"/>
          <w:color w:val="auto"/>
          <w:sz w:val="24"/>
          <w:highlight w:val="none"/>
        </w:rPr>
        <w:t xml:space="preserve"> </w:t>
      </w:r>
      <w:r>
        <w:rPr>
          <w:color w:val="auto"/>
          <w:sz w:val="24"/>
          <w:highlight w:val="none"/>
        </w:rPr>
        <w:t xml:space="preserve">_____________________ </w:t>
      </w:r>
    </w:p>
    <w:p>
      <w:pPr>
        <w:spacing w:line="440" w:lineRule="exact"/>
        <w:jc w:val="left"/>
        <w:rPr>
          <w:rFonts w:ascii="宋体" w:hAnsi="宋体"/>
          <w:color w:val="auto"/>
          <w:sz w:val="24"/>
          <w:highlight w:val="none"/>
          <w:u w:val="single"/>
        </w:rPr>
      </w:pPr>
      <w:r>
        <w:rPr>
          <w:rFonts w:hint="eastAsia" w:ascii="宋体" w:hAnsi="宋体"/>
          <w:color w:val="auto"/>
          <w:sz w:val="24"/>
          <w:highlight w:val="none"/>
        </w:rPr>
        <w:t>电子签章</w:t>
      </w:r>
      <w:r>
        <w:rPr>
          <w:rFonts w:hint="eastAsia" w:ascii="宋体" w:hAnsi="宋体"/>
          <w:color w:val="auto"/>
          <w:sz w:val="24"/>
          <w:highlight w:val="none"/>
          <w:u w:val="single"/>
        </w:rPr>
        <w:t xml:space="preserve">                     </w:t>
      </w:r>
    </w:p>
    <w:p>
      <w:pPr>
        <w:pStyle w:val="12"/>
        <w:rPr>
          <w:rFonts w:hint="eastAsia" w:ascii="宋体" w:eastAsia="宋体"/>
          <w:b/>
          <w:color w:val="auto"/>
          <w:sz w:val="24"/>
          <w:highlight w:val="none"/>
        </w:rPr>
      </w:pPr>
      <w:r>
        <w:rPr>
          <w:rFonts w:hint="eastAsia" w:ascii="宋体" w:eastAsia="宋体"/>
          <w:b/>
          <w:color w:val="auto"/>
          <w:sz w:val="24"/>
          <w:highlight w:val="none"/>
        </w:rPr>
        <w:t>注：1、投标人必须逐项对应描述投标货物的规格及参数，如不进行描述，仅在响应栏填“响应”或未填写或复制招标文件技术参数的，均可能视为不响应招标文件要求；</w:t>
      </w:r>
    </w:p>
    <w:p>
      <w:pPr>
        <w:pStyle w:val="12"/>
        <w:rPr>
          <w:rFonts w:hint="eastAsia" w:ascii="宋体" w:eastAsia="宋体"/>
          <w:b/>
          <w:color w:val="auto"/>
          <w:sz w:val="24"/>
          <w:highlight w:val="none"/>
        </w:rPr>
      </w:pPr>
      <w:r>
        <w:rPr>
          <w:rFonts w:hint="eastAsia" w:ascii="宋体" w:eastAsia="宋体"/>
          <w:b/>
          <w:color w:val="auto"/>
          <w:sz w:val="24"/>
          <w:highlight w:val="none"/>
        </w:rPr>
        <w:t>2、投标人所投产品如与招标文件要求的规格、参数及配置不一致，则须在上表偏离说明中详细注明。</w:t>
      </w:r>
    </w:p>
    <w:p>
      <w:pPr>
        <w:pStyle w:val="12"/>
        <w:rPr>
          <w:rFonts w:hint="eastAsia" w:ascii="宋体" w:hAnsi="宋体"/>
          <w:b/>
          <w:bCs/>
          <w:color w:val="auto"/>
          <w:sz w:val="28"/>
          <w:szCs w:val="22"/>
          <w:highlight w:val="none"/>
        </w:rPr>
      </w:pPr>
      <w:r>
        <w:rPr>
          <w:rFonts w:hint="eastAsia" w:ascii="宋体" w:eastAsia="宋体"/>
          <w:b/>
          <w:color w:val="auto"/>
          <w:sz w:val="24"/>
          <w:highlight w:val="none"/>
        </w:rPr>
        <w:t>3、响应部分可后附详细说明及技术资料，并应注明投标文件中对应的页码范围。</w:t>
      </w: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pStyle w:val="12"/>
        <w:rPr>
          <w:rFonts w:hint="eastAsia" w:ascii="宋体" w:hAnsi="宋体"/>
          <w:b/>
          <w:bCs/>
          <w:color w:val="auto"/>
          <w:sz w:val="28"/>
          <w:szCs w:val="22"/>
          <w:highlight w:val="none"/>
        </w:rPr>
      </w:pPr>
    </w:p>
    <w:p>
      <w:pPr>
        <w:tabs>
          <w:tab w:val="left" w:pos="2580"/>
          <w:tab w:val="left" w:pos="5940"/>
        </w:tabs>
        <w:autoSpaceDE w:val="0"/>
        <w:autoSpaceDN w:val="0"/>
        <w:adjustRightInd w:val="0"/>
        <w:snapToGrid w:val="0"/>
        <w:spacing w:line="400" w:lineRule="exact"/>
        <w:jc w:val="center"/>
        <w:rPr>
          <w:rFonts w:hint="eastAsia" w:ascii="宋体" w:hAnsi="宋体"/>
          <w:b/>
          <w:bCs/>
          <w:color w:val="auto"/>
          <w:sz w:val="28"/>
          <w:szCs w:val="22"/>
          <w:highlight w:val="none"/>
        </w:rPr>
      </w:pPr>
    </w:p>
    <w:p>
      <w:pPr>
        <w:pStyle w:val="2"/>
        <w:jc w:val="center"/>
        <w:rPr>
          <w:rFonts w:hint="eastAsia"/>
          <w:color w:val="auto"/>
          <w:highlight w:val="none"/>
        </w:rPr>
      </w:pPr>
      <w:r>
        <w:rPr>
          <w:rFonts w:hint="eastAsia" w:cs="Times New Roman"/>
          <w:bCs/>
          <w:color w:val="auto"/>
          <w:highlight w:val="none"/>
          <w:lang w:val="en-US" w:eastAsia="zh-CN"/>
        </w:rPr>
        <w:t>七</w:t>
      </w:r>
      <w:r>
        <w:rPr>
          <w:rFonts w:hint="eastAsia" w:cs="Times New Roman"/>
          <w:bCs/>
          <w:color w:val="auto"/>
          <w:highlight w:val="none"/>
        </w:rPr>
        <w:t>、其他资料</w:t>
      </w:r>
    </w:p>
    <w:p>
      <w:pPr>
        <w:overflowPunct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包括但不限于以下内容（内容、格式自定）：</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单位简介、企业技术装备、人员等情况。</w:t>
      </w:r>
    </w:p>
    <w:p>
      <w:pPr>
        <w:overflowPunct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响应产品生产企业获得的相关认证证书（如有）。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 生产企业公开发布的印刷资料或技术白皮书（如有）。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 响应产品的资料样本与产品彩页（如有）。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提供所有响应样品的含外包装照片（如分大包装、小包装，则样品仅需提供小包装照片）及响应样品去除所有包装后的产品实物照片（可分不同角度提供多张照片）。要求照片及相关文字清晰可辩，与样品一致。建议彩色打印/扫描（如有）。</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 提供由第三方检验机构出具的响应产品的检验报告。</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 响应产品的制造、检验、验收标准。</w:t>
      </w:r>
    </w:p>
    <w:p>
      <w:pPr>
        <w:overflowPunct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8. 供货方案（包括人员配备、本次响应产品的生产、运输、配送计划、验收标准及方法、保证措施等）。</w:t>
      </w:r>
    </w:p>
    <w:p>
      <w:pPr>
        <w:overflowPunct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9. </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认为需要提交的其他材料。</w:t>
      </w:r>
    </w:p>
    <w:p>
      <w:pPr>
        <w:pStyle w:val="12"/>
        <w:rPr>
          <w:color w:val="auto"/>
          <w:highlight w:val="none"/>
        </w:rPr>
      </w:pPr>
    </w:p>
    <w:sectPr>
      <w:footerReference r:id="rId5" w:type="default"/>
      <w:type w:val="continuous"/>
      <w:pgSz w:w="12240" w:h="15840"/>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Fonts w:hint="eastAsia" w:ascii="仿宋_GB2312" w:eastAsia="仿宋_GB2312"/>
      </w:rPr>
    </w:pPr>
    <w:r>
      <w:rPr>
        <w:rFonts w:hint="eastAsia" w:ascii="仿宋_GB2312" w:eastAsia="仿宋_GB2312"/>
      </w:rPr>
      <w:fldChar w:fldCharType="begin"/>
    </w:r>
    <w:r>
      <w:rPr>
        <w:rStyle w:val="31"/>
        <w:rFonts w:hint="eastAsia" w:ascii="仿宋_GB2312" w:eastAsia="仿宋_GB2312"/>
      </w:rPr>
      <w:instrText xml:space="preserve">PAGE  </w:instrText>
    </w:r>
    <w:r>
      <w:rPr>
        <w:rFonts w:hint="eastAsia" w:ascii="仿宋_GB2312" w:eastAsia="仿宋_GB2312"/>
      </w:rPr>
      <w:fldChar w:fldCharType="separate"/>
    </w:r>
    <w:r>
      <w:rPr>
        <w:rStyle w:val="31"/>
        <w:rFonts w:ascii="仿宋_GB2312" w:eastAsia="仿宋_GB2312"/>
      </w:rPr>
      <w:t>7</w:t>
    </w:r>
    <w:r>
      <w:rPr>
        <w:rFonts w:hint="eastAsia" w:ascii="仿宋_GB2312" w:eastAsia="仿宋_GB2312"/>
      </w:rPr>
      <w:fldChar w:fldCharType="end"/>
    </w:r>
  </w:p>
  <w:p>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134AA"/>
    <w:multiLevelType w:val="singleLevel"/>
    <w:tmpl w:val="945134AA"/>
    <w:lvl w:ilvl="0" w:tentative="0">
      <w:start w:val="6"/>
      <w:numFmt w:val="chineseCounting"/>
      <w:suff w:val="nothing"/>
      <w:lvlText w:val="%1、"/>
      <w:lvlJc w:val="left"/>
      <w:rPr>
        <w:rFonts w:hint="eastAsia"/>
      </w:rPr>
    </w:lvl>
  </w:abstractNum>
  <w:abstractNum w:abstractNumId="1">
    <w:nsid w:val="333C5D4A"/>
    <w:multiLevelType w:val="singleLevel"/>
    <w:tmpl w:val="333C5D4A"/>
    <w:lvl w:ilvl="0" w:tentative="0">
      <w:start w:val="2"/>
      <w:numFmt w:val="chineseCounting"/>
      <w:suff w:val="nothing"/>
      <w:lvlText w:val="%1、"/>
      <w:lvlJc w:val="left"/>
      <w:rPr>
        <w:rFonts w:hint="eastAsia"/>
      </w:rPr>
    </w:lvl>
  </w:abstractNum>
  <w:abstractNum w:abstractNumId="2">
    <w:nsid w:val="54967846"/>
    <w:multiLevelType w:val="singleLevel"/>
    <w:tmpl w:val="54967846"/>
    <w:lvl w:ilvl="0" w:tentative="0">
      <w:start w:val="4"/>
      <w:numFmt w:val="chineseCounting"/>
      <w:suff w:val="space"/>
      <w:lvlText w:val="第%1章"/>
      <w:lvlJc w:val="left"/>
      <w:rPr>
        <w:rFonts w:hint="eastAsia"/>
      </w:rPr>
    </w:lvl>
  </w:abstractNum>
  <w:abstractNum w:abstractNumId="3">
    <w:nsid w:val="7C6B0F46"/>
    <w:multiLevelType w:val="singleLevel"/>
    <w:tmpl w:val="7C6B0F46"/>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b9a794d2-6989-4333-8d38-bd5c3fbfbe20"/>
  </w:docVars>
  <w:rsids>
    <w:rsidRoot w:val="00172A27"/>
    <w:rsid w:val="00000DA4"/>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50340"/>
    <w:rsid w:val="00050D09"/>
    <w:rsid w:val="00051718"/>
    <w:rsid w:val="00051E22"/>
    <w:rsid w:val="000533D5"/>
    <w:rsid w:val="00054896"/>
    <w:rsid w:val="00056461"/>
    <w:rsid w:val="00056867"/>
    <w:rsid w:val="00060236"/>
    <w:rsid w:val="00062AC6"/>
    <w:rsid w:val="00062E7E"/>
    <w:rsid w:val="00067035"/>
    <w:rsid w:val="0007092F"/>
    <w:rsid w:val="00071FA8"/>
    <w:rsid w:val="0007517C"/>
    <w:rsid w:val="0008132B"/>
    <w:rsid w:val="00081360"/>
    <w:rsid w:val="0008253E"/>
    <w:rsid w:val="00083B57"/>
    <w:rsid w:val="00083EA3"/>
    <w:rsid w:val="000841EF"/>
    <w:rsid w:val="000846D4"/>
    <w:rsid w:val="00086570"/>
    <w:rsid w:val="000943B0"/>
    <w:rsid w:val="000945DD"/>
    <w:rsid w:val="00094C66"/>
    <w:rsid w:val="00094FFC"/>
    <w:rsid w:val="000956C5"/>
    <w:rsid w:val="0009599B"/>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4710"/>
    <w:rsid w:val="000C5A9F"/>
    <w:rsid w:val="000D174A"/>
    <w:rsid w:val="000D3A5C"/>
    <w:rsid w:val="000D4336"/>
    <w:rsid w:val="000D49B4"/>
    <w:rsid w:val="000D4E08"/>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4EFC"/>
    <w:rsid w:val="00115124"/>
    <w:rsid w:val="00115848"/>
    <w:rsid w:val="0011701D"/>
    <w:rsid w:val="00117443"/>
    <w:rsid w:val="00117F0F"/>
    <w:rsid w:val="001243AF"/>
    <w:rsid w:val="00126A2D"/>
    <w:rsid w:val="00130D79"/>
    <w:rsid w:val="0013146C"/>
    <w:rsid w:val="001351ED"/>
    <w:rsid w:val="0014098E"/>
    <w:rsid w:val="00143135"/>
    <w:rsid w:val="001528CC"/>
    <w:rsid w:val="001530C6"/>
    <w:rsid w:val="00153B32"/>
    <w:rsid w:val="0015590F"/>
    <w:rsid w:val="0016040A"/>
    <w:rsid w:val="001605AA"/>
    <w:rsid w:val="001613DD"/>
    <w:rsid w:val="001618B1"/>
    <w:rsid w:val="001658EF"/>
    <w:rsid w:val="00166088"/>
    <w:rsid w:val="00172A27"/>
    <w:rsid w:val="001735B4"/>
    <w:rsid w:val="00173EF7"/>
    <w:rsid w:val="001748A3"/>
    <w:rsid w:val="00175F7A"/>
    <w:rsid w:val="00180101"/>
    <w:rsid w:val="00182B11"/>
    <w:rsid w:val="00183B4A"/>
    <w:rsid w:val="00184453"/>
    <w:rsid w:val="00184D80"/>
    <w:rsid w:val="00185763"/>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4259"/>
    <w:rsid w:val="00204A5C"/>
    <w:rsid w:val="0020605E"/>
    <w:rsid w:val="00206463"/>
    <w:rsid w:val="00207A0B"/>
    <w:rsid w:val="00211842"/>
    <w:rsid w:val="00212A53"/>
    <w:rsid w:val="0021322F"/>
    <w:rsid w:val="00213B90"/>
    <w:rsid w:val="00215765"/>
    <w:rsid w:val="00215AF0"/>
    <w:rsid w:val="00215D24"/>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C9B"/>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E0A"/>
    <w:rsid w:val="002751CF"/>
    <w:rsid w:val="00276C71"/>
    <w:rsid w:val="0027764B"/>
    <w:rsid w:val="00281526"/>
    <w:rsid w:val="00281E0E"/>
    <w:rsid w:val="00282FB1"/>
    <w:rsid w:val="00285406"/>
    <w:rsid w:val="00285F17"/>
    <w:rsid w:val="00286C1A"/>
    <w:rsid w:val="00287666"/>
    <w:rsid w:val="00291BE9"/>
    <w:rsid w:val="0029287A"/>
    <w:rsid w:val="00294405"/>
    <w:rsid w:val="002A1233"/>
    <w:rsid w:val="002A552C"/>
    <w:rsid w:val="002A65ED"/>
    <w:rsid w:val="002B0537"/>
    <w:rsid w:val="002B2D21"/>
    <w:rsid w:val="002B7AC0"/>
    <w:rsid w:val="002C0C29"/>
    <w:rsid w:val="002C4B9C"/>
    <w:rsid w:val="002C51BB"/>
    <w:rsid w:val="002C688F"/>
    <w:rsid w:val="002C7B9B"/>
    <w:rsid w:val="002D2B90"/>
    <w:rsid w:val="002D3451"/>
    <w:rsid w:val="002D458D"/>
    <w:rsid w:val="002D6F32"/>
    <w:rsid w:val="002E0561"/>
    <w:rsid w:val="002E146B"/>
    <w:rsid w:val="002E1DAC"/>
    <w:rsid w:val="002E357F"/>
    <w:rsid w:val="002E37E9"/>
    <w:rsid w:val="002E602B"/>
    <w:rsid w:val="002E6D05"/>
    <w:rsid w:val="002F0F43"/>
    <w:rsid w:val="002F1898"/>
    <w:rsid w:val="002F1EE0"/>
    <w:rsid w:val="002F4E05"/>
    <w:rsid w:val="002F72A0"/>
    <w:rsid w:val="00302940"/>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5347"/>
    <w:rsid w:val="003F18FD"/>
    <w:rsid w:val="003F1CDB"/>
    <w:rsid w:val="003F1FBD"/>
    <w:rsid w:val="003F3518"/>
    <w:rsid w:val="003F504F"/>
    <w:rsid w:val="003F5B69"/>
    <w:rsid w:val="004006C9"/>
    <w:rsid w:val="004009FD"/>
    <w:rsid w:val="00403934"/>
    <w:rsid w:val="00403D1E"/>
    <w:rsid w:val="004062B6"/>
    <w:rsid w:val="004105EF"/>
    <w:rsid w:val="0041115C"/>
    <w:rsid w:val="00411574"/>
    <w:rsid w:val="00412501"/>
    <w:rsid w:val="004125A8"/>
    <w:rsid w:val="004138B6"/>
    <w:rsid w:val="00413A55"/>
    <w:rsid w:val="00415A1A"/>
    <w:rsid w:val="0042017A"/>
    <w:rsid w:val="0042326A"/>
    <w:rsid w:val="00423F96"/>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206C"/>
    <w:rsid w:val="00464927"/>
    <w:rsid w:val="00465378"/>
    <w:rsid w:val="00466A71"/>
    <w:rsid w:val="00466C94"/>
    <w:rsid w:val="00467CC6"/>
    <w:rsid w:val="004733D3"/>
    <w:rsid w:val="0047355E"/>
    <w:rsid w:val="00473597"/>
    <w:rsid w:val="00473AA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3F9A"/>
    <w:rsid w:val="004C5020"/>
    <w:rsid w:val="004D0A15"/>
    <w:rsid w:val="004D0A89"/>
    <w:rsid w:val="004D1209"/>
    <w:rsid w:val="004D1CC7"/>
    <w:rsid w:val="004D1D26"/>
    <w:rsid w:val="004D3A49"/>
    <w:rsid w:val="004D4247"/>
    <w:rsid w:val="004D4F12"/>
    <w:rsid w:val="004D5623"/>
    <w:rsid w:val="004D7237"/>
    <w:rsid w:val="004D794D"/>
    <w:rsid w:val="004D7FCB"/>
    <w:rsid w:val="004E0C05"/>
    <w:rsid w:val="004E15C6"/>
    <w:rsid w:val="004E3473"/>
    <w:rsid w:val="004E54EB"/>
    <w:rsid w:val="004E78F5"/>
    <w:rsid w:val="004F0DB1"/>
    <w:rsid w:val="004F1425"/>
    <w:rsid w:val="004F20F0"/>
    <w:rsid w:val="004F278C"/>
    <w:rsid w:val="004F3309"/>
    <w:rsid w:val="004F39F7"/>
    <w:rsid w:val="005034E3"/>
    <w:rsid w:val="00503AB0"/>
    <w:rsid w:val="0050739A"/>
    <w:rsid w:val="00507F25"/>
    <w:rsid w:val="005100DC"/>
    <w:rsid w:val="00511660"/>
    <w:rsid w:val="00512A0D"/>
    <w:rsid w:val="00513F69"/>
    <w:rsid w:val="0051560B"/>
    <w:rsid w:val="00517A67"/>
    <w:rsid w:val="00517CCE"/>
    <w:rsid w:val="005212F7"/>
    <w:rsid w:val="0052194C"/>
    <w:rsid w:val="005229A0"/>
    <w:rsid w:val="00522D50"/>
    <w:rsid w:val="00524932"/>
    <w:rsid w:val="005251E7"/>
    <w:rsid w:val="00525E12"/>
    <w:rsid w:val="005272C3"/>
    <w:rsid w:val="005275D1"/>
    <w:rsid w:val="00527D92"/>
    <w:rsid w:val="00531AB3"/>
    <w:rsid w:val="00531BAF"/>
    <w:rsid w:val="00535573"/>
    <w:rsid w:val="00537234"/>
    <w:rsid w:val="00537781"/>
    <w:rsid w:val="005409DB"/>
    <w:rsid w:val="00540FB3"/>
    <w:rsid w:val="00542C62"/>
    <w:rsid w:val="00543007"/>
    <w:rsid w:val="00543076"/>
    <w:rsid w:val="00543F5F"/>
    <w:rsid w:val="00545698"/>
    <w:rsid w:val="00546149"/>
    <w:rsid w:val="0054730C"/>
    <w:rsid w:val="00547432"/>
    <w:rsid w:val="0055408A"/>
    <w:rsid w:val="00554AC7"/>
    <w:rsid w:val="00555089"/>
    <w:rsid w:val="005559D5"/>
    <w:rsid w:val="005565F1"/>
    <w:rsid w:val="00562259"/>
    <w:rsid w:val="005655BD"/>
    <w:rsid w:val="00565E6F"/>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52FC"/>
    <w:rsid w:val="00605403"/>
    <w:rsid w:val="00605A28"/>
    <w:rsid w:val="0060762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300EA"/>
    <w:rsid w:val="00632B51"/>
    <w:rsid w:val="00633021"/>
    <w:rsid w:val="0063584F"/>
    <w:rsid w:val="00636962"/>
    <w:rsid w:val="00637781"/>
    <w:rsid w:val="00641920"/>
    <w:rsid w:val="00643B4D"/>
    <w:rsid w:val="00644C71"/>
    <w:rsid w:val="006462FA"/>
    <w:rsid w:val="006512A9"/>
    <w:rsid w:val="00651D65"/>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2DCA"/>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495"/>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40AE9"/>
    <w:rsid w:val="00742B21"/>
    <w:rsid w:val="00744517"/>
    <w:rsid w:val="007476CC"/>
    <w:rsid w:val="00750137"/>
    <w:rsid w:val="0075115C"/>
    <w:rsid w:val="007516C9"/>
    <w:rsid w:val="00752100"/>
    <w:rsid w:val="007538E9"/>
    <w:rsid w:val="00753921"/>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2AB0"/>
    <w:rsid w:val="007C3124"/>
    <w:rsid w:val="007C5B73"/>
    <w:rsid w:val="007C5DF5"/>
    <w:rsid w:val="007D07A2"/>
    <w:rsid w:val="007D16DC"/>
    <w:rsid w:val="007D29C2"/>
    <w:rsid w:val="007D36E9"/>
    <w:rsid w:val="007D3AAE"/>
    <w:rsid w:val="007D4C26"/>
    <w:rsid w:val="007D5CBB"/>
    <w:rsid w:val="007D6572"/>
    <w:rsid w:val="007D6983"/>
    <w:rsid w:val="007E0563"/>
    <w:rsid w:val="007E1033"/>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56EF"/>
    <w:rsid w:val="008657D0"/>
    <w:rsid w:val="00865A18"/>
    <w:rsid w:val="00873670"/>
    <w:rsid w:val="00877B50"/>
    <w:rsid w:val="00880196"/>
    <w:rsid w:val="00880C4E"/>
    <w:rsid w:val="00883C18"/>
    <w:rsid w:val="00884003"/>
    <w:rsid w:val="00884568"/>
    <w:rsid w:val="00886D39"/>
    <w:rsid w:val="00891335"/>
    <w:rsid w:val="00893F10"/>
    <w:rsid w:val="008A0C4A"/>
    <w:rsid w:val="008A3781"/>
    <w:rsid w:val="008A4C9A"/>
    <w:rsid w:val="008A4F8A"/>
    <w:rsid w:val="008A55DC"/>
    <w:rsid w:val="008A6176"/>
    <w:rsid w:val="008A6265"/>
    <w:rsid w:val="008A6F43"/>
    <w:rsid w:val="008B0843"/>
    <w:rsid w:val="008B178C"/>
    <w:rsid w:val="008B256A"/>
    <w:rsid w:val="008B4537"/>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2CA5"/>
    <w:rsid w:val="008E3370"/>
    <w:rsid w:val="008E3A41"/>
    <w:rsid w:val="008E40E6"/>
    <w:rsid w:val="008F1666"/>
    <w:rsid w:val="008F25E1"/>
    <w:rsid w:val="008F2DB6"/>
    <w:rsid w:val="008F45C3"/>
    <w:rsid w:val="008F54C0"/>
    <w:rsid w:val="008F78BF"/>
    <w:rsid w:val="0090152F"/>
    <w:rsid w:val="00901B60"/>
    <w:rsid w:val="0090314C"/>
    <w:rsid w:val="009035B3"/>
    <w:rsid w:val="009045DE"/>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404"/>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1293"/>
    <w:rsid w:val="009816BB"/>
    <w:rsid w:val="00982B42"/>
    <w:rsid w:val="00984168"/>
    <w:rsid w:val="0098473F"/>
    <w:rsid w:val="00986130"/>
    <w:rsid w:val="009875FE"/>
    <w:rsid w:val="00987946"/>
    <w:rsid w:val="00990C32"/>
    <w:rsid w:val="009914DB"/>
    <w:rsid w:val="00991717"/>
    <w:rsid w:val="009918C4"/>
    <w:rsid w:val="00993DD3"/>
    <w:rsid w:val="00993FD3"/>
    <w:rsid w:val="00996086"/>
    <w:rsid w:val="00996A73"/>
    <w:rsid w:val="00997308"/>
    <w:rsid w:val="0099765D"/>
    <w:rsid w:val="009A04D2"/>
    <w:rsid w:val="009A04D7"/>
    <w:rsid w:val="009A0C5F"/>
    <w:rsid w:val="009A21F7"/>
    <w:rsid w:val="009A6828"/>
    <w:rsid w:val="009A72CB"/>
    <w:rsid w:val="009B0025"/>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7C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C188E"/>
    <w:rsid w:val="00AC2268"/>
    <w:rsid w:val="00AC27AF"/>
    <w:rsid w:val="00AC2FEB"/>
    <w:rsid w:val="00AC3AA9"/>
    <w:rsid w:val="00AC7102"/>
    <w:rsid w:val="00AC7AA8"/>
    <w:rsid w:val="00AD14E9"/>
    <w:rsid w:val="00AD38CD"/>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2664C"/>
    <w:rsid w:val="00B30D0B"/>
    <w:rsid w:val="00B329C0"/>
    <w:rsid w:val="00B333E0"/>
    <w:rsid w:val="00B34169"/>
    <w:rsid w:val="00B35DAF"/>
    <w:rsid w:val="00B37B25"/>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BF7"/>
    <w:rsid w:val="00B704DC"/>
    <w:rsid w:val="00B70AB4"/>
    <w:rsid w:val="00B7681D"/>
    <w:rsid w:val="00B770F9"/>
    <w:rsid w:val="00B8223C"/>
    <w:rsid w:val="00B82CF7"/>
    <w:rsid w:val="00B82E6C"/>
    <w:rsid w:val="00B83E5B"/>
    <w:rsid w:val="00B840FF"/>
    <w:rsid w:val="00B8418F"/>
    <w:rsid w:val="00B850F5"/>
    <w:rsid w:val="00B85BB5"/>
    <w:rsid w:val="00B85D28"/>
    <w:rsid w:val="00B923D8"/>
    <w:rsid w:val="00B924CB"/>
    <w:rsid w:val="00B9671E"/>
    <w:rsid w:val="00BA0BF9"/>
    <w:rsid w:val="00BA1742"/>
    <w:rsid w:val="00BA6A1E"/>
    <w:rsid w:val="00BA779B"/>
    <w:rsid w:val="00BB14E3"/>
    <w:rsid w:val="00BB2113"/>
    <w:rsid w:val="00BB4F87"/>
    <w:rsid w:val="00BB6955"/>
    <w:rsid w:val="00BB7076"/>
    <w:rsid w:val="00BC08DE"/>
    <w:rsid w:val="00BC15E9"/>
    <w:rsid w:val="00BC295A"/>
    <w:rsid w:val="00BC31D7"/>
    <w:rsid w:val="00BC5A19"/>
    <w:rsid w:val="00BC7BDB"/>
    <w:rsid w:val="00BC7D06"/>
    <w:rsid w:val="00BD02D1"/>
    <w:rsid w:val="00BD0888"/>
    <w:rsid w:val="00BD2382"/>
    <w:rsid w:val="00BD38A7"/>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10A53"/>
    <w:rsid w:val="00C11B1A"/>
    <w:rsid w:val="00C13846"/>
    <w:rsid w:val="00C1558A"/>
    <w:rsid w:val="00C16B44"/>
    <w:rsid w:val="00C16E65"/>
    <w:rsid w:val="00C249BE"/>
    <w:rsid w:val="00C24B4C"/>
    <w:rsid w:val="00C26C1D"/>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312C"/>
    <w:rsid w:val="00C93C64"/>
    <w:rsid w:val="00C959F6"/>
    <w:rsid w:val="00C97B27"/>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313E"/>
    <w:rsid w:val="00D13DA8"/>
    <w:rsid w:val="00D16244"/>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6BE2"/>
    <w:rsid w:val="00D704B3"/>
    <w:rsid w:val="00D70B9C"/>
    <w:rsid w:val="00D71AF2"/>
    <w:rsid w:val="00D73671"/>
    <w:rsid w:val="00D74914"/>
    <w:rsid w:val="00D74C71"/>
    <w:rsid w:val="00D76110"/>
    <w:rsid w:val="00D765FC"/>
    <w:rsid w:val="00D77428"/>
    <w:rsid w:val="00D77EC9"/>
    <w:rsid w:val="00D81DC0"/>
    <w:rsid w:val="00D8264B"/>
    <w:rsid w:val="00D9028D"/>
    <w:rsid w:val="00D91F21"/>
    <w:rsid w:val="00D935CD"/>
    <w:rsid w:val="00D94273"/>
    <w:rsid w:val="00D944A0"/>
    <w:rsid w:val="00D946E9"/>
    <w:rsid w:val="00D965A8"/>
    <w:rsid w:val="00DA1173"/>
    <w:rsid w:val="00DA365A"/>
    <w:rsid w:val="00DA5F06"/>
    <w:rsid w:val="00DA7EB6"/>
    <w:rsid w:val="00DB01EA"/>
    <w:rsid w:val="00DB1008"/>
    <w:rsid w:val="00DB2502"/>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AB8"/>
    <w:rsid w:val="00E00B48"/>
    <w:rsid w:val="00E0130E"/>
    <w:rsid w:val="00E01675"/>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203F"/>
    <w:rsid w:val="00E238A2"/>
    <w:rsid w:val="00E23BBB"/>
    <w:rsid w:val="00E24F54"/>
    <w:rsid w:val="00E26404"/>
    <w:rsid w:val="00E3243B"/>
    <w:rsid w:val="00E32FD8"/>
    <w:rsid w:val="00E335D8"/>
    <w:rsid w:val="00E33707"/>
    <w:rsid w:val="00E34005"/>
    <w:rsid w:val="00E3521D"/>
    <w:rsid w:val="00E35248"/>
    <w:rsid w:val="00E3663F"/>
    <w:rsid w:val="00E367AE"/>
    <w:rsid w:val="00E37606"/>
    <w:rsid w:val="00E413AB"/>
    <w:rsid w:val="00E43274"/>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85"/>
    <w:rsid w:val="00EB6DE7"/>
    <w:rsid w:val="00EB6FB6"/>
    <w:rsid w:val="00EB71F5"/>
    <w:rsid w:val="00EC0FC6"/>
    <w:rsid w:val="00EC197C"/>
    <w:rsid w:val="00EC5F1A"/>
    <w:rsid w:val="00ED4442"/>
    <w:rsid w:val="00ED574F"/>
    <w:rsid w:val="00ED694A"/>
    <w:rsid w:val="00ED76D9"/>
    <w:rsid w:val="00ED77F1"/>
    <w:rsid w:val="00EE19B3"/>
    <w:rsid w:val="00EE2372"/>
    <w:rsid w:val="00EE3343"/>
    <w:rsid w:val="00EF0DF0"/>
    <w:rsid w:val="00EF1559"/>
    <w:rsid w:val="00EF3E61"/>
    <w:rsid w:val="00EF64D9"/>
    <w:rsid w:val="00F0398D"/>
    <w:rsid w:val="00F0434D"/>
    <w:rsid w:val="00F0449C"/>
    <w:rsid w:val="00F060A4"/>
    <w:rsid w:val="00F06124"/>
    <w:rsid w:val="00F07523"/>
    <w:rsid w:val="00F1269D"/>
    <w:rsid w:val="00F132D8"/>
    <w:rsid w:val="00F16B10"/>
    <w:rsid w:val="00F20BFD"/>
    <w:rsid w:val="00F21810"/>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F15"/>
    <w:rsid w:val="00F41539"/>
    <w:rsid w:val="00F41E90"/>
    <w:rsid w:val="00F44906"/>
    <w:rsid w:val="00F463F0"/>
    <w:rsid w:val="00F46B42"/>
    <w:rsid w:val="00F4710F"/>
    <w:rsid w:val="00F50429"/>
    <w:rsid w:val="00F505B2"/>
    <w:rsid w:val="00F53A81"/>
    <w:rsid w:val="00F53E1D"/>
    <w:rsid w:val="00F5434E"/>
    <w:rsid w:val="00F57750"/>
    <w:rsid w:val="00F57D8D"/>
    <w:rsid w:val="00F60D82"/>
    <w:rsid w:val="00F60E88"/>
    <w:rsid w:val="00F60EA7"/>
    <w:rsid w:val="00F617B7"/>
    <w:rsid w:val="00F62BE1"/>
    <w:rsid w:val="00F62DA5"/>
    <w:rsid w:val="00F641A4"/>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B72"/>
    <w:rsid w:val="00FA10A8"/>
    <w:rsid w:val="00FA1427"/>
    <w:rsid w:val="00FA45BA"/>
    <w:rsid w:val="00FA4B03"/>
    <w:rsid w:val="00FA5296"/>
    <w:rsid w:val="00FA6F2E"/>
    <w:rsid w:val="00FB1F93"/>
    <w:rsid w:val="00FB48DF"/>
    <w:rsid w:val="00FB4F3E"/>
    <w:rsid w:val="00FB5972"/>
    <w:rsid w:val="00FB632F"/>
    <w:rsid w:val="00FC07D0"/>
    <w:rsid w:val="00FC3256"/>
    <w:rsid w:val="00FC3BAF"/>
    <w:rsid w:val="00FC5824"/>
    <w:rsid w:val="00FC5D22"/>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0523F6"/>
    <w:rsid w:val="01262A4D"/>
    <w:rsid w:val="0161650D"/>
    <w:rsid w:val="016D1684"/>
    <w:rsid w:val="01B04500"/>
    <w:rsid w:val="01B31E16"/>
    <w:rsid w:val="01C80B6C"/>
    <w:rsid w:val="01D04E93"/>
    <w:rsid w:val="01D7158D"/>
    <w:rsid w:val="01D8699E"/>
    <w:rsid w:val="01DC52B1"/>
    <w:rsid w:val="01EE746E"/>
    <w:rsid w:val="02017DCB"/>
    <w:rsid w:val="022B1E95"/>
    <w:rsid w:val="0256197E"/>
    <w:rsid w:val="026F1FE6"/>
    <w:rsid w:val="027B7754"/>
    <w:rsid w:val="02937C8E"/>
    <w:rsid w:val="02D84F28"/>
    <w:rsid w:val="03115012"/>
    <w:rsid w:val="03262267"/>
    <w:rsid w:val="033B490A"/>
    <w:rsid w:val="03794AF6"/>
    <w:rsid w:val="039D3BE2"/>
    <w:rsid w:val="03B3186D"/>
    <w:rsid w:val="03B965CA"/>
    <w:rsid w:val="03D32B17"/>
    <w:rsid w:val="03D64FF9"/>
    <w:rsid w:val="03DF51D8"/>
    <w:rsid w:val="03E46A7F"/>
    <w:rsid w:val="03F30799"/>
    <w:rsid w:val="04245CC6"/>
    <w:rsid w:val="0432090D"/>
    <w:rsid w:val="04475648"/>
    <w:rsid w:val="04506807"/>
    <w:rsid w:val="04714F72"/>
    <w:rsid w:val="04736200"/>
    <w:rsid w:val="047550DB"/>
    <w:rsid w:val="0480214A"/>
    <w:rsid w:val="0484318E"/>
    <w:rsid w:val="0489140E"/>
    <w:rsid w:val="049D2F26"/>
    <w:rsid w:val="04B0361E"/>
    <w:rsid w:val="04BC7D6C"/>
    <w:rsid w:val="04EB11FE"/>
    <w:rsid w:val="04EE1776"/>
    <w:rsid w:val="051B544B"/>
    <w:rsid w:val="053640B5"/>
    <w:rsid w:val="05486A95"/>
    <w:rsid w:val="054A3552"/>
    <w:rsid w:val="055744EA"/>
    <w:rsid w:val="055F06CF"/>
    <w:rsid w:val="05A2203A"/>
    <w:rsid w:val="05C757C1"/>
    <w:rsid w:val="05E41D15"/>
    <w:rsid w:val="05FD14D7"/>
    <w:rsid w:val="06211E21"/>
    <w:rsid w:val="063F2AE5"/>
    <w:rsid w:val="066D4CE1"/>
    <w:rsid w:val="06715DF5"/>
    <w:rsid w:val="067B477F"/>
    <w:rsid w:val="067E2EB5"/>
    <w:rsid w:val="068C498F"/>
    <w:rsid w:val="06D53BB9"/>
    <w:rsid w:val="06E74A42"/>
    <w:rsid w:val="06E83C5E"/>
    <w:rsid w:val="07031F83"/>
    <w:rsid w:val="07395993"/>
    <w:rsid w:val="073F25B6"/>
    <w:rsid w:val="07477166"/>
    <w:rsid w:val="07504230"/>
    <w:rsid w:val="07600D34"/>
    <w:rsid w:val="078253F5"/>
    <w:rsid w:val="0788312F"/>
    <w:rsid w:val="07A2518C"/>
    <w:rsid w:val="07A357FE"/>
    <w:rsid w:val="07C70A58"/>
    <w:rsid w:val="080169B3"/>
    <w:rsid w:val="08207AF6"/>
    <w:rsid w:val="082779ED"/>
    <w:rsid w:val="085F2844"/>
    <w:rsid w:val="08705E11"/>
    <w:rsid w:val="088A0411"/>
    <w:rsid w:val="08914E9E"/>
    <w:rsid w:val="08B00A92"/>
    <w:rsid w:val="08C33C1A"/>
    <w:rsid w:val="08C74F07"/>
    <w:rsid w:val="08CC1E8E"/>
    <w:rsid w:val="09010D19"/>
    <w:rsid w:val="09431C6A"/>
    <w:rsid w:val="094927F4"/>
    <w:rsid w:val="095728A7"/>
    <w:rsid w:val="097A15A5"/>
    <w:rsid w:val="097B69AA"/>
    <w:rsid w:val="0A01649D"/>
    <w:rsid w:val="0A1B2F95"/>
    <w:rsid w:val="0A323123"/>
    <w:rsid w:val="0A332498"/>
    <w:rsid w:val="0A3A1BF6"/>
    <w:rsid w:val="0A404975"/>
    <w:rsid w:val="0A447109"/>
    <w:rsid w:val="0A4E0D5C"/>
    <w:rsid w:val="0A600A2A"/>
    <w:rsid w:val="0A6157BC"/>
    <w:rsid w:val="0A7C2A5B"/>
    <w:rsid w:val="0A870ACB"/>
    <w:rsid w:val="0A8A634D"/>
    <w:rsid w:val="0A93098D"/>
    <w:rsid w:val="0A9F23E7"/>
    <w:rsid w:val="0ABC6CD0"/>
    <w:rsid w:val="0AFB6637"/>
    <w:rsid w:val="0B036402"/>
    <w:rsid w:val="0B0B71FB"/>
    <w:rsid w:val="0B1D6FB2"/>
    <w:rsid w:val="0B28575A"/>
    <w:rsid w:val="0B2C5826"/>
    <w:rsid w:val="0B5770F6"/>
    <w:rsid w:val="0B7A1E23"/>
    <w:rsid w:val="0BAE519C"/>
    <w:rsid w:val="0BC71450"/>
    <w:rsid w:val="0BC86BCC"/>
    <w:rsid w:val="0BD3774E"/>
    <w:rsid w:val="0BE923B6"/>
    <w:rsid w:val="0BFD0227"/>
    <w:rsid w:val="0C0A5D32"/>
    <w:rsid w:val="0C3C1AF2"/>
    <w:rsid w:val="0C3D1EB8"/>
    <w:rsid w:val="0C490150"/>
    <w:rsid w:val="0C4C7806"/>
    <w:rsid w:val="0C555206"/>
    <w:rsid w:val="0CA60F8C"/>
    <w:rsid w:val="0CAA54C3"/>
    <w:rsid w:val="0CB3607A"/>
    <w:rsid w:val="0CE210A5"/>
    <w:rsid w:val="0CF4794F"/>
    <w:rsid w:val="0CFB5904"/>
    <w:rsid w:val="0D28396F"/>
    <w:rsid w:val="0D462C02"/>
    <w:rsid w:val="0D4865F8"/>
    <w:rsid w:val="0D5E4110"/>
    <w:rsid w:val="0D634E45"/>
    <w:rsid w:val="0D7A51B2"/>
    <w:rsid w:val="0D9E1D82"/>
    <w:rsid w:val="0DCD4866"/>
    <w:rsid w:val="0DED27B4"/>
    <w:rsid w:val="0DF00FC3"/>
    <w:rsid w:val="0E1E0E21"/>
    <w:rsid w:val="0E3746E5"/>
    <w:rsid w:val="0E3A25E6"/>
    <w:rsid w:val="0E446510"/>
    <w:rsid w:val="0E487F11"/>
    <w:rsid w:val="0E5E4C01"/>
    <w:rsid w:val="0E75179E"/>
    <w:rsid w:val="0E764519"/>
    <w:rsid w:val="0E8148E9"/>
    <w:rsid w:val="0E8479EF"/>
    <w:rsid w:val="0EA04BBD"/>
    <w:rsid w:val="0EA66AFA"/>
    <w:rsid w:val="0EFC36E5"/>
    <w:rsid w:val="0F012521"/>
    <w:rsid w:val="0F293B2D"/>
    <w:rsid w:val="0F4245AA"/>
    <w:rsid w:val="0F4944C8"/>
    <w:rsid w:val="0F856D7C"/>
    <w:rsid w:val="0FA40C66"/>
    <w:rsid w:val="0FBA1C19"/>
    <w:rsid w:val="0FD72864"/>
    <w:rsid w:val="0FE76BBC"/>
    <w:rsid w:val="100F2BD1"/>
    <w:rsid w:val="1012149F"/>
    <w:rsid w:val="101D1FEB"/>
    <w:rsid w:val="1050255E"/>
    <w:rsid w:val="107D5FE7"/>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7E6776"/>
    <w:rsid w:val="11E35375"/>
    <w:rsid w:val="120E1EDE"/>
    <w:rsid w:val="12334244"/>
    <w:rsid w:val="1243265A"/>
    <w:rsid w:val="124A7543"/>
    <w:rsid w:val="12521F00"/>
    <w:rsid w:val="12546914"/>
    <w:rsid w:val="125760D4"/>
    <w:rsid w:val="12C53926"/>
    <w:rsid w:val="12CC0349"/>
    <w:rsid w:val="12D25B6A"/>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FE0DFE"/>
    <w:rsid w:val="14151EEA"/>
    <w:rsid w:val="142B2AFA"/>
    <w:rsid w:val="145835BA"/>
    <w:rsid w:val="14794309"/>
    <w:rsid w:val="14825712"/>
    <w:rsid w:val="14941145"/>
    <w:rsid w:val="14A718D6"/>
    <w:rsid w:val="14BC19B0"/>
    <w:rsid w:val="14D47AB7"/>
    <w:rsid w:val="14E453C8"/>
    <w:rsid w:val="15233557"/>
    <w:rsid w:val="152D47C3"/>
    <w:rsid w:val="153214D2"/>
    <w:rsid w:val="155B529C"/>
    <w:rsid w:val="15625511"/>
    <w:rsid w:val="157A248B"/>
    <w:rsid w:val="158D6722"/>
    <w:rsid w:val="15C21D22"/>
    <w:rsid w:val="15C41B8A"/>
    <w:rsid w:val="16021394"/>
    <w:rsid w:val="160E0808"/>
    <w:rsid w:val="1649386D"/>
    <w:rsid w:val="16E425C9"/>
    <w:rsid w:val="16F67F18"/>
    <w:rsid w:val="170E6D43"/>
    <w:rsid w:val="17292C6A"/>
    <w:rsid w:val="17294A6D"/>
    <w:rsid w:val="17322B53"/>
    <w:rsid w:val="17343D68"/>
    <w:rsid w:val="1734459D"/>
    <w:rsid w:val="17786ED9"/>
    <w:rsid w:val="178B60C6"/>
    <w:rsid w:val="17B16E03"/>
    <w:rsid w:val="17B46B20"/>
    <w:rsid w:val="17B63240"/>
    <w:rsid w:val="17BD582B"/>
    <w:rsid w:val="17CE447E"/>
    <w:rsid w:val="17D41B31"/>
    <w:rsid w:val="18067269"/>
    <w:rsid w:val="181B18E0"/>
    <w:rsid w:val="185F4419"/>
    <w:rsid w:val="1889233A"/>
    <w:rsid w:val="189C62C6"/>
    <w:rsid w:val="18A90BB8"/>
    <w:rsid w:val="18D94284"/>
    <w:rsid w:val="18E1724F"/>
    <w:rsid w:val="18FF0DD7"/>
    <w:rsid w:val="18FF4C70"/>
    <w:rsid w:val="190E403C"/>
    <w:rsid w:val="19617621"/>
    <w:rsid w:val="196E0DDB"/>
    <w:rsid w:val="1972591D"/>
    <w:rsid w:val="19761650"/>
    <w:rsid w:val="197667D1"/>
    <w:rsid w:val="197E5D58"/>
    <w:rsid w:val="19802E78"/>
    <w:rsid w:val="1982352D"/>
    <w:rsid w:val="19A16964"/>
    <w:rsid w:val="19A86598"/>
    <w:rsid w:val="19AE1969"/>
    <w:rsid w:val="19B87DC1"/>
    <w:rsid w:val="19DF74FF"/>
    <w:rsid w:val="19E51FC1"/>
    <w:rsid w:val="19F64B79"/>
    <w:rsid w:val="1A28357B"/>
    <w:rsid w:val="1A313A49"/>
    <w:rsid w:val="1A6D701B"/>
    <w:rsid w:val="1A8232A8"/>
    <w:rsid w:val="1AB14DD7"/>
    <w:rsid w:val="1AEA2A8C"/>
    <w:rsid w:val="1B240EAD"/>
    <w:rsid w:val="1B25070F"/>
    <w:rsid w:val="1B2F721F"/>
    <w:rsid w:val="1B5B2C64"/>
    <w:rsid w:val="1B6953CB"/>
    <w:rsid w:val="1BB354DC"/>
    <w:rsid w:val="1BC15DD7"/>
    <w:rsid w:val="1BCC14CB"/>
    <w:rsid w:val="1BD50603"/>
    <w:rsid w:val="1BDC1602"/>
    <w:rsid w:val="1C26089A"/>
    <w:rsid w:val="1C30610C"/>
    <w:rsid w:val="1C340624"/>
    <w:rsid w:val="1C366929"/>
    <w:rsid w:val="1C4055EE"/>
    <w:rsid w:val="1C5A3E95"/>
    <w:rsid w:val="1C9D505E"/>
    <w:rsid w:val="1CA26601"/>
    <w:rsid w:val="1CDA3B18"/>
    <w:rsid w:val="1CE5512D"/>
    <w:rsid w:val="1CFA3411"/>
    <w:rsid w:val="1D204F21"/>
    <w:rsid w:val="1D636647"/>
    <w:rsid w:val="1D7B3521"/>
    <w:rsid w:val="1D7F24F1"/>
    <w:rsid w:val="1D8A4DF3"/>
    <w:rsid w:val="1D8D6749"/>
    <w:rsid w:val="1DBB2D63"/>
    <w:rsid w:val="1DC6123C"/>
    <w:rsid w:val="1DE61A43"/>
    <w:rsid w:val="1DF645C8"/>
    <w:rsid w:val="1E233BB0"/>
    <w:rsid w:val="1E312728"/>
    <w:rsid w:val="1E362239"/>
    <w:rsid w:val="1E385716"/>
    <w:rsid w:val="1E4303C2"/>
    <w:rsid w:val="1E6418CC"/>
    <w:rsid w:val="1EB308C1"/>
    <w:rsid w:val="1EBC3A2C"/>
    <w:rsid w:val="1EF95415"/>
    <w:rsid w:val="1EFE6E0C"/>
    <w:rsid w:val="1F101ABE"/>
    <w:rsid w:val="1F3437EC"/>
    <w:rsid w:val="1F3D6927"/>
    <w:rsid w:val="1F405F69"/>
    <w:rsid w:val="1F631378"/>
    <w:rsid w:val="1F687919"/>
    <w:rsid w:val="1F6A294B"/>
    <w:rsid w:val="1F76202E"/>
    <w:rsid w:val="1F8F7E5C"/>
    <w:rsid w:val="1F940CAD"/>
    <w:rsid w:val="1FAB0BDF"/>
    <w:rsid w:val="1FAF701D"/>
    <w:rsid w:val="1FBD20EF"/>
    <w:rsid w:val="1FCC7D6F"/>
    <w:rsid w:val="1FCD656B"/>
    <w:rsid w:val="1FD034F3"/>
    <w:rsid w:val="1FDB13E2"/>
    <w:rsid w:val="1FF15EF0"/>
    <w:rsid w:val="1FF90C14"/>
    <w:rsid w:val="205273BB"/>
    <w:rsid w:val="206A1A63"/>
    <w:rsid w:val="20746D43"/>
    <w:rsid w:val="20AB27E2"/>
    <w:rsid w:val="20AC4511"/>
    <w:rsid w:val="20B978F4"/>
    <w:rsid w:val="20BB1D78"/>
    <w:rsid w:val="20BE7A34"/>
    <w:rsid w:val="21021B32"/>
    <w:rsid w:val="21154190"/>
    <w:rsid w:val="21186188"/>
    <w:rsid w:val="2158729D"/>
    <w:rsid w:val="215D796E"/>
    <w:rsid w:val="216A15EA"/>
    <w:rsid w:val="217B33CE"/>
    <w:rsid w:val="21AE593D"/>
    <w:rsid w:val="21E24AD8"/>
    <w:rsid w:val="221C1DEB"/>
    <w:rsid w:val="222C61A7"/>
    <w:rsid w:val="225228A9"/>
    <w:rsid w:val="22703B15"/>
    <w:rsid w:val="228D497D"/>
    <w:rsid w:val="22AC60C8"/>
    <w:rsid w:val="22DE3259"/>
    <w:rsid w:val="22EB6812"/>
    <w:rsid w:val="22F00967"/>
    <w:rsid w:val="236408D1"/>
    <w:rsid w:val="237B60CA"/>
    <w:rsid w:val="2387122C"/>
    <w:rsid w:val="238D0BD4"/>
    <w:rsid w:val="23910BEF"/>
    <w:rsid w:val="23DB492D"/>
    <w:rsid w:val="23E4680B"/>
    <w:rsid w:val="2400516C"/>
    <w:rsid w:val="24085A4F"/>
    <w:rsid w:val="240F4B2A"/>
    <w:rsid w:val="241A4A05"/>
    <w:rsid w:val="2425767C"/>
    <w:rsid w:val="242A0E1D"/>
    <w:rsid w:val="2431144C"/>
    <w:rsid w:val="243C1AFE"/>
    <w:rsid w:val="247E2C16"/>
    <w:rsid w:val="24CE030D"/>
    <w:rsid w:val="24DC3EAB"/>
    <w:rsid w:val="25121BF8"/>
    <w:rsid w:val="253C4217"/>
    <w:rsid w:val="2549433E"/>
    <w:rsid w:val="25532C86"/>
    <w:rsid w:val="255B35D4"/>
    <w:rsid w:val="255C2AE1"/>
    <w:rsid w:val="255F2490"/>
    <w:rsid w:val="25D453E1"/>
    <w:rsid w:val="26075B0A"/>
    <w:rsid w:val="261C2B10"/>
    <w:rsid w:val="26223D84"/>
    <w:rsid w:val="264819A1"/>
    <w:rsid w:val="265C1513"/>
    <w:rsid w:val="2660039C"/>
    <w:rsid w:val="26606D38"/>
    <w:rsid w:val="2664671C"/>
    <w:rsid w:val="26857903"/>
    <w:rsid w:val="26AE6FED"/>
    <w:rsid w:val="26BA5FBA"/>
    <w:rsid w:val="26CC79CE"/>
    <w:rsid w:val="26E55A24"/>
    <w:rsid w:val="26E663EF"/>
    <w:rsid w:val="26F93E83"/>
    <w:rsid w:val="270F6ADD"/>
    <w:rsid w:val="273A478E"/>
    <w:rsid w:val="2741519C"/>
    <w:rsid w:val="27591AE0"/>
    <w:rsid w:val="275A5444"/>
    <w:rsid w:val="27630099"/>
    <w:rsid w:val="276341AD"/>
    <w:rsid w:val="27683AE1"/>
    <w:rsid w:val="27A978EC"/>
    <w:rsid w:val="27B76B5A"/>
    <w:rsid w:val="27BF2F68"/>
    <w:rsid w:val="27CA6D83"/>
    <w:rsid w:val="27E12375"/>
    <w:rsid w:val="27F92A8E"/>
    <w:rsid w:val="28136A8E"/>
    <w:rsid w:val="28237309"/>
    <w:rsid w:val="284847EE"/>
    <w:rsid w:val="28634B37"/>
    <w:rsid w:val="28863150"/>
    <w:rsid w:val="288F6E9F"/>
    <w:rsid w:val="28A23536"/>
    <w:rsid w:val="28CE2BC7"/>
    <w:rsid w:val="28FE1EAD"/>
    <w:rsid w:val="290207D6"/>
    <w:rsid w:val="29082B64"/>
    <w:rsid w:val="291A5959"/>
    <w:rsid w:val="295E313D"/>
    <w:rsid w:val="29726862"/>
    <w:rsid w:val="299F4C9B"/>
    <w:rsid w:val="29A41DBC"/>
    <w:rsid w:val="29C158BA"/>
    <w:rsid w:val="29CE019B"/>
    <w:rsid w:val="29E01545"/>
    <w:rsid w:val="29E5134C"/>
    <w:rsid w:val="29F84E47"/>
    <w:rsid w:val="2A1D79BB"/>
    <w:rsid w:val="2A3E75AD"/>
    <w:rsid w:val="2A8E5AD7"/>
    <w:rsid w:val="2A9722CD"/>
    <w:rsid w:val="2A972E22"/>
    <w:rsid w:val="2ABF3381"/>
    <w:rsid w:val="2AD670DC"/>
    <w:rsid w:val="2AD67F0C"/>
    <w:rsid w:val="2ADE7F85"/>
    <w:rsid w:val="2B1B7216"/>
    <w:rsid w:val="2B345740"/>
    <w:rsid w:val="2B3F1BB4"/>
    <w:rsid w:val="2B651481"/>
    <w:rsid w:val="2B926DAC"/>
    <w:rsid w:val="2B963DEC"/>
    <w:rsid w:val="2B9F3F88"/>
    <w:rsid w:val="2BA42C02"/>
    <w:rsid w:val="2BA47FE1"/>
    <w:rsid w:val="2BAC310F"/>
    <w:rsid w:val="2BAE4B8E"/>
    <w:rsid w:val="2BEF52F3"/>
    <w:rsid w:val="2C0C0ED2"/>
    <w:rsid w:val="2C1852E4"/>
    <w:rsid w:val="2C8B1289"/>
    <w:rsid w:val="2CC16B39"/>
    <w:rsid w:val="2CEC49A4"/>
    <w:rsid w:val="2CF43625"/>
    <w:rsid w:val="2D1437B2"/>
    <w:rsid w:val="2D1903E2"/>
    <w:rsid w:val="2D1E3173"/>
    <w:rsid w:val="2D3421AB"/>
    <w:rsid w:val="2D3C4EF7"/>
    <w:rsid w:val="2D550B77"/>
    <w:rsid w:val="2DC4391E"/>
    <w:rsid w:val="2E4269B1"/>
    <w:rsid w:val="2E6618E5"/>
    <w:rsid w:val="2E676764"/>
    <w:rsid w:val="2E7A57F0"/>
    <w:rsid w:val="2E8171A7"/>
    <w:rsid w:val="2EA1006E"/>
    <w:rsid w:val="2EA25052"/>
    <w:rsid w:val="2EAF024E"/>
    <w:rsid w:val="2EAF48C6"/>
    <w:rsid w:val="2EE8623C"/>
    <w:rsid w:val="2EEC57F6"/>
    <w:rsid w:val="2EEC7E83"/>
    <w:rsid w:val="2EF335AC"/>
    <w:rsid w:val="2F043748"/>
    <w:rsid w:val="2F0B30A1"/>
    <w:rsid w:val="2F4819D8"/>
    <w:rsid w:val="2F4B243D"/>
    <w:rsid w:val="2F522711"/>
    <w:rsid w:val="2F806B20"/>
    <w:rsid w:val="2F867577"/>
    <w:rsid w:val="2F9034C9"/>
    <w:rsid w:val="2FB70894"/>
    <w:rsid w:val="2FE52B5A"/>
    <w:rsid w:val="2FE7047C"/>
    <w:rsid w:val="2FF72FE2"/>
    <w:rsid w:val="2FF80391"/>
    <w:rsid w:val="301D5D54"/>
    <w:rsid w:val="30370228"/>
    <w:rsid w:val="3044147F"/>
    <w:rsid w:val="30690741"/>
    <w:rsid w:val="306E1479"/>
    <w:rsid w:val="30750496"/>
    <w:rsid w:val="307B30AF"/>
    <w:rsid w:val="30836B90"/>
    <w:rsid w:val="30956EBE"/>
    <w:rsid w:val="30C022A0"/>
    <w:rsid w:val="30C3381E"/>
    <w:rsid w:val="30CE1B16"/>
    <w:rsid w:val="30D069A6"/>
    <w:rsid w:val="30D77998"/>
    <w:rsid w:val="31403EBD"/>
    <w:rsid w:val="31472444"/>
    <w:rsid w:val="314B567E"/>
    <w:rsid w:val="316064BC"/>
    <w:rsid w:val="319A7585"/>
    <w:rsid w:val="31A81316"/>
    <w:rsid w:val="31C330CE"/>
    <w:rsid w:val="31D32D7D"/>
    <w:rsid w:val="31D42917"/>
    <w:rsid w:val="32282E69"/>
    <w:rsid w:val="3237025A"/>
    <w:rsid w:val="32A15029"/>
    <w:rsid w:val="32B1690A"/>
    <w:rsid w:val="32B44A46"/>
    <w:rsid w:val="32B73C26"/>
    <w:rsid w:val="32CF12F7"/>
    <w:rsid w:val="33027193"/>
    <w:rsid w:val="3309466A"/>
    <w:rsid w:val="330D6DBA"/>
    <w:rsid w:val="331329E4"/>
    <w:rsid w:val="333A68C8"/>
    <w:rsid w:val="334350DC"/>
    <w:rsid w:val="334607E7"/>
    <w:rsid w:val="335465E4"/>
    <w:rsid w:val="335B7A1B"/>
    <w:rsid w:val="33756B32"/>
    <w:rsid w:val="33AB3374"/>
    <w:rsid w:val="33B142B7"/>
    <w:rsid w:val="33BE20D0"/>
    <w:rsid w:val="34136F86"/>
    <w:rsid w:val="34582372"/>
    <w:rsid w:val="347822F5"/>
    <w:rsid w:val="347C6B46"/>
    <w:rsid w:val="348C61C4"/>
    <w:rsid w:val="34AC2C35"/>
    <w:rsid w:val="34BD7940"/>
    <w:rsid w:val="34BE5CAA"/>
    <w:rsid w:val="34D23867"/>
    <w:rsid w:val="34D4348E"/>
    <w:rsid w:val="34FD3310"/>
    <w:rsid w:val="353E4EE3"/>
    <w:rsid w:val="3587410B"/>
    <w:rsid w:val="358C4A8A"/>
    <w:rsid w:val="3596698E"/>
    <w:rsid w:val="359E03A3"/>
    <w:rsid w:val="35B44B20"/>
    <w:rsid w:val="35DB00BD"/>
    <w:rsid w:val="360B4E8E"/>
    <w:rsid w:val="36270398"/>
    <w:rsid w:val="363D08CC"/>
    <w:rsid w:val="36490D51"/>
    <w:rsid w:val="367C559F"/>
    <w:rsid w:val="368B14B9"/>
    <w:rsid w:val="369030E0"/>
    <w:rsid w:val="369F6D06"/>
    <w:rsid w:val="36AB1CEE"/>
    <w:rsid w:val="36CB3291"/>
    <w:rsid w:val="36D11D48"/>
    <w:rsid w:val="36D849ED"/>
    <w:rsid w:val="36D90A1F"/>
    <w:rsid w:val="36E6312A"/>
    <w:rsid w:val="36F96F77"/>
    <w:rsid w:val="37007ED9"/>
    <w:rsid w:val="370912F8"/>
    <w:rsid w:val="37322601"/>
    <w:rsid w:val="37433B9B"/>
    <w:rsid w:val="37BA1243"/>
    <w:rsid w:val="37BA4BDF"/>
    <w:rsid w:val="37BB216B"/>
    <w:rsid w:val="37BC719F"/>
    <w:rsid w:val="37E6496D"/>
    <w:rsid w:val="37F96522"/>
    <w:rsid w:val="381973C0"/>
    <w:rsid w:val="383343FC"/>
    <w:rsid w:val="3842504A"/>
    <w:rsid w:val="38676C8B"/>
    <w:rsid w:val="386801E6"/>
    <w:rsid w:val="38792449"/>
    <w:rsid w:val="387C2B0E"/>
    <w:rsid w:val="388F56BE"/>
    <w:rsid w:val="389C3258"/>
    <w:rsid w:val="38A3130A"/>
    <w:rsid w:val="38A5476C"/>
    <w:rsid w:val="38C01FCA"/>
    <w:rsid w:val="38CB7E89"/>
    <w:rsid w:val="38D01637"/>
    <w:rsid w:val="38D03369"/>
    <w:rsid w:val="38D4251F"/>
    <w:rsid w:val="38DC46AE"/>
    <w:rsid w:val="38E451C2"/>
    <w:rsid w:val="390312A2"/>
    <w:rsid w:val="394D7C2B"/>
    <w:rsid w:val="3952595F"/>
    <w:rsid w:val="39650E24"/>
    <w:rsid w:val="397D387E"/>
    <w:rsid w:val="398C5E72"/>
    <w:rsid w:val="39C96790"/>
    <w:rsid w:val="39CB3DA8"/>
    <w:rsid w:val="39CC1676"/>
    <w:rsid w:val="39CF6825"/>
    <w:rsid w:val="39E00299"/>
    <w:rsid w:val="39E65057"/>
    <w:rsid w:val="39F97ED3"/>
    <w:rsid w:val="3A042116"/>
    <w:rsid w:val="3A087D52"/>
    <w:rsid w:val="3A101B16"/>
    <w:rsid w:val="3A176550"/>
    <w:rsid w:val="3A2B22F7"/>
    <w:rsid w:val="3A630BD5"/>
    <w:rsid w:val="3A7A56E0"/>
    <w:rsid w:val="3AD3624B"/>
    <w:rsid w:val="3AEA2A44"/>
    <w:rsid w:val="3AFF2C90"/>
    <w:rsid w:val="3AFF4A73"/>
    <w:rsid w:val="3B1523C6"/>
    <w:rsid w:val="3B18752E"/>
    <w:rsid w:val="3B1D1019"/>
    <w:rsid w:val="3B207C1A"/>
    <w:rsid w:val="3B274BE3"/>
    <w:rsid w:val="3B38204B"/>
    <w:rsid w:val="3B3C0357"/>
    <w:rsid w:val="3B5312FC"/>
    <w:rsid w:val="3B703897"/>
    <w:rsid w:val="3B8C1841"/>
    <w:rsid w:val="3B8F4DE7"/>
    <w:rsid w:val="3B92496B"/>
    <w:rsid w:val="3BB368FC"/>
    <w:rsid w:val="3BC232AE"/>
    <w:rsid w:val="3BD115E3"/>
    <w:rsid w:val="3BE70108"/>
    <w:rsid w:val="3BF27BCF"/>
    <w:rsid w:val="3BFF69F6"/>
    <w:rsid w:val="3C29301A"/>
    <w:rsid w:val="3C2A1CC6"/>
    <w:rsid w:val="3C2A3907"/>
    <w:rsid w:val="3C362055"/>
    <w:rsid w:val="3C456AD9"/>
    <w:rsid w:val="3C5B5487"/>
    <w:rsid w:val="3C805A69"/>
    <w:rsid w:val="3C82673E"/>
    <w:rsid w:val="3C890B40"/>
    <w:rsid w:val="3C9A75CD"/>
    <w:rsid w:val="3CA662E8"/>
    <w:rsid w:val="3CAC2806"/>
    <w:rsid w:val="3CAC5196"/>
    <w:rsid w:val="3CBA6CAE"/>
    <w:rsid w:val="3CE257BB"/>
    <w:rsid w:val="3D072D55"/>
    <w:rsid w:val="3D2A52D3"/>
    <w:rsid w:val="3D347300"/>
    <w:rsid w:val="3D4C44DA"/>
    <w:rsid w:val="3D4E29CB"/>
    <w:rsid w:val="3D780066"/>
    <w:rsid w:val="3DC37E52"/>
    <w:rsid w:val="3DD23FE3"/>
    <w:rsid w:val="3DE30437"/>
    <w:rsid w:val="3DE50A89"/>
    <w:rsid w:val="3DEA1F9D"/>
    <w:rsid w:val="3DEF2AAF"/>
    <w:rsid w:val="3DFF5562"/>
    <w:rsid w:val="3E03718C"/>
    <w:rsid w:val="3E203667"/>
    <w:rsid w:val="3E400433"/>
    <w:rsid w:val="3E42243E"/>
    <w:rsid w:val="3E48647A"/>
    <w:rsid w:val="3E5A1D55"/>
    <w:rsid w:val="3E5C1C90"/>
    <w:rsid w:val="3E680ED2"/>
    <w:rsid w:val="3E700A8F"/>
    <w:rsid w:val="3EA816A5"/>
    <w:rsid w:val="3EB916EC"/>
    <w:rsid w:val="3EC01A71"/>
    <w:rsid w:val="3ECA01A1"/>
    <w:rsid w:val="3ED55C02"/>
    <w:rsid w:val="3F063EFF"/>
    <w:rsid w:val="3F100D38"/>
    <w:rsid w:val="3F15473E"/>
    <w:rsid w:val="3F1B4431"/>
    <w:rsid w:val="3F332F50"/>
    <w:rsid w:val="3F5844C5"/>
    <w:rsid w:val="3F5D7BA0"/>
    <w:rsid w:val="3F8C78E1"/>
    <w:rsid w:val="3F9B51E9"/>
    <w:rsid w:val="3FC7317D"/>
    <w:rsid w:val="3FD73F94"/>
    <w:rsid w:val="3FEF086B"/>
    <w:rsid w:val="3FF74BF3"/>
    <w:rsid w:val="400707D4"/>
    <w:rsid w:val="400C09CA"/>
    <w:rsid w:val="400F0985"/>
    <w:rsid w:val="40286715"/>
    <w:rsid w:val="40354C7B"/>
    <w:rsid w:val="40380095"/>
    <w:rsid w:val="403C7F31"/>
    <w:rsid w:val="40577FC9"/>
    <w:rsid w:val="40701966"/>
    <w:rsid w:val="40EB7C6D"/>
    <w:rsid w:val="40F5414B"/>
    <w:rsid w:val="40FF4AF1"/>
    <w:rsid w:val="411124CB"/>
    <w:rsid w:val="41124EE6"/>
    <w:rsid w:val="411C1436"/>
    <w:rsid w:val="412F3326"/>
    <w:rsid w:val="413844D9"/>
    <w:rsid w:val="414B7682"/>
    <w:rsid w:val="415228BA"/>
    <w:rsid w:val="41760D1B"/>
    <w:rsid w:val="417C58E1"/>
    <w:rsid w:val="41A814A5"/>
    <w:rsid w:val="41AB3120"/>
    <w:rsid w:val="41F84FF7"/>
    <w:rsid w:val="42B86496"/>
    <w:rsid w:val="42C35217"/>
    <w:rsid w:val="42D7188C"/>
    <w:rsid w:val="42E81CAF"/>
    <w:rsid w:val="43023750"/>
    <w:rsid w:val="430516EA"/>
    <w:rsid w:val="430B1EFC"/>
    <w:rsid w:val="4317322A"/>
    <w:rsid w:val="432E6D6F"/>
    <w:rsid w:val="43304682"/>
    <w:rsid w:val="43305C80"/>
    <w:rsid w:val="435412B8"/>
    <w:rsid w:val="43666252"/>
    <w:rsid w:val="43783D27"/>
    <w:rsid w:val="4390141C"/>
    <w:rsid w:val="43B5765B"/>
    <w:rsid w:val="43D16466"/>
    <w:rsid w:val="440C6F2A"/>
    <w:rsid w:val="440D6DAD"/>
    <w:rsid w:val="44311C28"/>
    <w:rsid w:val="444F7C0C"/>
    <w:rsid w:val="445648C3"/>
    <w:rsid w:val="44647472"/>
    <w:rsid w:val="44666302"/>
    <w:rsid w:val="44756C86"/>
    <w:rsid w:val="44897B9E"/>
    <w:rsid w:val="44A70428"/>
    <w:rsid w:val="44A72F03"/>
    <w:rsid w:val="45022B85"/>
    <w:rsid w:val="45022D5F"/>
    <w:rsid w:val="45190D07"/>
    <w:rsid w:val="452A085B"/>
    <w:rsid w:val="452C72B7"/>
    <w:rsid w:val="45420324"/>
    <w:rsid w:val="45571DF7"/>
    <w:rsid w:val="4563705D"/>
    <w:rsid w:val="45904ACF"/>
    <w:rsid w:val="45B10782"/>
    <w:rsid w:val="45CC05D8"/>
    <w:rsid w:val="45F95B4D"/>
    <w:rsid w:val="460452A0"/>
    <w:rsid w:val="46135F32"/>
    <w:rsid w:val="46262176"/>
    <w:rsid w:val="4680445C"/>
    <w:rsid w:val="468E4477"/>
    <w:rsid w:val="46911CEA"/>
    <w:rsid w:val="46922D19"/>
    <w:rsid w:val="46BC4F2C"/>
    <w:rsid w:val="46DB5B28"/>
    <w:rsid w:val="46DE7987"/>
    <w:rsid w:val="47176D8E"/>
    <w:rsid w:val="4742191A"/>
    <w:rsid w:val="474E1E6C"/>
    <w:rsid w:val="47646B9D"/>
    <w:rsid w:val="47BD2E26"/>
    <w:rsid w:val="47E713D4"/>
    <w:rsid w:val="47ED7CEE"/>
    <w:rsid w:val="482D082C"/>
    <w:rsid w:val="483C4B9E"/>
    <w:rsid w:val="48447159"/>
    <w:rsid w:val="48677222"/>
    <w:rsid w:val="486977C7"/>
    <w:rsid w:val="48782B57"/>
    <w:rsid w:val="48A56E07"/>
    <w:rsid w:val="48E25783"/>
    <w:rsid w:val="48E55B55"/>
    <w:rsid w:val="490B6C14"/>
    <w:rsid w:val="49343FC1"/>
    <w:rsid w:val="49626EB7"/>
    <w:rsid w:val="49742590"/>
    <w:rsid w:val="497547CF"/>
    <w:rsid w:val="49BF4FB3"/>
    <w:rsid w:val="49D87E02"/>
    <w:rsid w:val="49DA4936"/>
    <w:rsid w:val="49E1067B"/>
    <w:rsid w:val="49E65E9A"/>
    <w:rsid w:val="49F038BD"/>
    <w:rsid w:val="4A0C6576"/>
    <w:rsid w:val="4A131739"/>
    <w:rsid w:val="4A2474CC"/>
    <w:rsid w:val="4A3E05CE"/>
    <w:rsid w:val="4A3F1C6E"/>
    <w:rsid w:val="4A42520C"/>
    <w:rsid w:val="4A5C7A81"/>
    <w:rsid w:val="4A7953F9"/>
    <w:rsid w:val="4A7F7023"/>
    <w:rsid w:val="4A833CCA"/>
    <w:rsid w:val="4A9B20E2"/>
    <w:rsid w:val="4AA27E36"/>
    <w:rsid w:val="4ABF30C4"/>
    <w:rsid w:val="4ADF6DFE"/>
    <w:rsid w:val="4ADF7733"/>
    <w:rsid w:val="4AF1677E"/>
    <w:rsid w:val="4AF220B2"/>
    <w:rsid w:val="4B0D3F9B"/>
    <w:rsid w:val="4B1469C0"/>
    <w:rsid w:val="4B2765EA"/>
    <w:rsid w:val="4B2B6CF9"/>
    <w:rsid w:val="4B4911AB"/>
    <w:rsid w:val="4B6005EF"/>
    <w:rsid w:val="4B7F3FBA"/>
    <w:rsid w:val="4B8128F4"/>
    <w:rsid w:val="4B83292A"/>
    <w:rsid w:val="4B834F6D"/>
    <w:rsid w:val="4BD52A4E"/>
    <w:rsid w:val="4BEC5326"/>
    <w:rsid w:val="4C1A29A2"/>
    <w:rsid w:val="4C242FF7"/>
    <w:rsid w:val="4C755D10"/>
    <w:rsid w:val="4C75617D"/>
    <w:rsid w:val="4CB85404"/>
    <w:rsid w:val="4CC42BA6"/>
    <w:rsid w:val="4CD452CB"/>
    <w:rsid w:val="4CEB1DC3"/>
    <w:rsid w:val="4D04384B"/>
    <w:rsid w:val="4D2D65AC"/>
    <w:rsid w:val="4D3223EC"/>
    <w:rsid w:val="4D36250D"/>
    <w:rsid w:val="4D606FD5"/>
    <w:rsid w:val="4D7057DD"/>
    <w:rsid w:val="4D98120C"/>
    <w:rsid w:val="4DA402B8"/>
    <w:rsid w:val="4DC32884"/>
    <w:rsid w:val="4DD64716"/>
    <w:rsid w:val="4DE37B55"/>
    <w:rsid w:val="4DF54F33"/>
    <w:rsid w:val="4DF83ADA"/>
    <w:rsid w:val="4DFE7DDE"/>
    <w:rsid w:val="4E472E47"/>
    <w:rsid w:val="4E4B4187"/>
    <w:rsid w:val="4E4E2195"/>
    <w:rsid w:val="4E797966"/>
    <w:rsid w:val="4E896E0B"/>
    <w:rsid w:val="4E897021"/>
    <w:rsid w:val="4E962538"/>
    <w:rsid w:val="4EA0534F"/>
    <w:rsid w:val="4EBD7110"/>
    <w:rsid w:val="4EDB02A0"/>
    <w:rsid w:val="4F074EBE"/>
    <w:rsid w:val="4F490012"/>
    <w:rsid w:val="4F55325D"/>
    <w:rsid w:val="4F655F44"/>
    <w:rsid w:val="4FB07BF8"/>
    <w:rsid w:val="4FC75E86"/>
    <w:rsid w:val="4FC9625A"/>
    <w:rsid w:val="4FD219BF"/>
    <w:rsid w:val="4FDD7954"/>
    <w:rsid w:val="4FE40265"/>
    <w:rsid w:val="4FF73DCE"/>
    <w:rsid w:val="4FF76130"/>
    <w:rsid w:val="5005117B"/>
    <w:rsid w:val="50265478"/>
    <w:rsid w:val="502D5AAE"/>
    <w:rsid w:val="502E108E"/>
    <w:rsid w:val="5038327F"/>
    <w:rsid w:val="504F5FB3"/>
    <w:rsid w:val="505F01DE"/>
    <w:rsid w:val="507F2019"/>
    <w:rsid w:val="5085256B"/>
    <w:rsid w:val="50883443"/>
    <w:rsid w:val="50B264B8"/>
    <w:rsid w:val="50DC117B"/>
    <w:rsid w:val="50DE6724"/>
    <w:rsid w:val="510C3D6B"/>
    <w:rsid w:val="51204D51"/>
    <w:rsid w:val="512E73AD"/>
    <w:rsid w:val="51302C35"/>
    <w:rsid w:val="51343071"/>
    <w:rsid w:val="513B7EA1"/>
    <w:rsid w:val="514465DA"/>
    <w:rsid w:val="51523D7D"/>
    <w:rsid w:val="51725C58"/>
    <w:rsid w:val="518A24A0"/>
    <w:rsid w:val="519A258E"/>
    <w:rsid w:val="51AD5279"/>
    <w:rsid w:val="51D120F2"/>
    <w:rsid w:val="51D62467"/>
    <w:rsid w:val="51DD04CA"/>
    <w:rsid w:val="52001E73"/>
    <w:rsid w:val="522F4687"/>
    <w:rsid w:val="5283494B"/>
    <w:rsid w:val="52B65672"/>
    <w:rsid w:val="52DA1F67"/>
    <w:rsid w:val="52DC1233"/>
    <w:rsid w:val="53260AAA"/>
    <w:rsid w:val="53500D51"/>
    <w:rsid w:val="5350481B"/>
    <w:rsid w:val="53805D67"/>
    <w:rsid w:val="539E17A0"/>
    <w:rsid w:val="53B532CF"/>
    <w:rsid w:val="53C515E2"/>
    <w:rsid w:val="53CC502D"/>
    <w:rsid w:val="53DD2A43"/>
    <w:rsid w:val="53F45053"/>
    <w:rsid w:val="53FC01FB"/>
    <w:rsid w:val="54044960"/>
    <w:rsid w:val="541226B6"/>
    <w:rsid w:val="543C54DD"/>
    <w:rsid w:val="54623D30"/>
    <w:rsid w:val="546663A5"/>
    <w:rsid w:val="54684AF8"/>
    <w:rsid w:val="546F43B4"/>
    <w:rsid w:val="54795CA3"/>
    <w:rsid w:val="548B70F8"/>
    <w:rsid w:val="54952DD2"/>
    <w:rsid w:val="54985012"/>
    <w:rsid w:val="54AA6BFF"/>
    <w:rsid w:val="54AD2A7D"/>
    <w:rsid w:val="54B70DF0"/>
    <w:rsid w:val="54C610FF"/>
    <w:rsid w:val="54D90FF7"/>
    <w:rsid w:val="54F66DF0"/>
    <w:rsid w:val="54F96E2D"/>
    <w:rsid w:val="55044115"/>
    <w:rsid w:val="55102B21"/>
    <w:rsid w:val="551A04D3"/>
    <w:rsid w:val="552247B5"/>
    <w:rsid w:val="553C20AD"/>
    <w:rsid w:val="556D0E40"/>
    <w:rsid w:val="5577432F"/>
    <w:rsid w:val="557D0674"/>
    <w:rsid w:val="55B436E3"/>
    <w:rsid w:val="55D93EB7"/>
    <w:rsid w:val="562B749E"/>
    <w:rsid w:val="564B2680"/>
    <w:rsid w:val="565D465B"/>
    <w:rsid w:val="566B2B9D"/>
    <w:rsid w:val="566D4B4A"/>
    <w:rsid w:val="5677609D"/>
    <w:rsid w:val="56945F1A"/>
    <w:rsid w:val="569C1164"/>
    <w:rsid w:val="56B52743"/>
    <w:rsid w:val="56E92FE2"/>
    <w:rsid w:val="570074C9"/>
    <w:rsid w:val="57413838"/>
    <w:rsid w:val="574B7586"/>
    <w:rsid w:val="574F23F9"/>
    <w:rsid w:val="576C7516"/>
    <w:rsid w:val="57875755"/>
    <w:rsid w:val="579F170B"/>
    <w:rsid w:val="57AB4FF3"/>
    <w:rsid w:val="57DE4B2F"/>
    <w:rsid w:val="580F0828"/>
    <w:rsid w:val="581B2ACA"/>
    <w:rsid w:val="58534B28"/>
    <w:rsid w:val="588C5CB7"/>
    <w:rsid w:val="589B6EE0"/>
    <w:rsid w:val="58AB3A34"/>
    <w:rsid w:val="58E24023"/>
    <w:rsid w:val="58E43783"/>
    <w:rsid w:val="58E86982"/>
    <w:rsid w:val="58F55A69"/>
    <w:rsid w:val="58FB55FE"/>
    <w:rsid w:val="592379E6"/>
    <w:rsid w:val="592A1998"/>
    <w:rsid w:val="5969395A"/>
    <w:rsid w:val="598125F8"/>
    <w:rsid w:val="59882FF0"/>
    <w:rsid w:val="59A60F5A"/>
    <w:rsid w:val="59B94CC4"/>
    <w:rsid w:val="59BB36C4"/>
    <w:rsid w:val="5A091FF8"/>
    <w:rsid w:val="5A0F4F36"/>
    <w:rsid w:val="5A1541AB"/>
    <w:rsid w:val="5A1A1EDB"/>
    <w:rsid w:val="5A2A4B14"/>
    <w:rsid w:val="5A2E1CC0"/>
    <w:rsid w:val="5A2F59C3"/>
    <w:rsid w:val="5A5B5B65"/>
    <w:rsid w:val="5A7C1EC2"/>
    <w:rsid w:val="5AD71A23"/>
    <w:rsid w:val="5ADC40E2"/>
    <w:rsid w:val="5AEF3DDE"/>
    <w:rsid w:val="5AF8583C"/>
    <w:rsid w:val="5AFD2105"/>
    <w:rsid w:val="5B01360B"/>
    <w:rsid w:val="5B14044F"/>
    <w:rsid w:val="5B2A02E5"/>
    <w:rsid w:val="5B2F648F"/>
    <w:rsid w:val="5B5C33C7"/>
    <w:rsid w:val="5B846642"/>
    <w:rsid w:val="5B9345DE"/>
    <w:rsid w:val="5B94158A"/>
    <w:rsid w:val="5B9D0974"/>
    <w:rsid w:val="5BBD1564"/>
    <w:rsid w:val="5BC430F1"/>
    <w:rsid w:val="5BE50578"/>
    <w:rsid w:val="5BEC3B59"/>
    <w:rsid w:val="5C1652F9"/>
    <w:rsid w:val="5C9C4FCB"/>
    <w:rsid w:val="5CBD3922"/>
    <w:rsid w:val="5CD71012"/>
    <w:rsid w:val="5CEF72BA"/>
    <w:rsid w:val="5CF70434"/>
    <w:rsid w:val="5D1854CD"/>
    <w:rsid w:val="5D553A95"/>
    <w:rsid w:val="5D62009E"/>
    <w:rsid w:val="5D6A7B0E"/>
    <w:rsid w:val="5D994942"/>
    <w:rsid w:val="5D997FD9"/>
    <w:rsid w:val="5DA3557D"/>
    <w:rsid w:val="5DB700E1"/>
    <w:rsid w:val="5DBB2B4B"/>
    <w:rsid w:val="5DD34AD1"/>
    <w:rsid w:val="5DD80051"/>
    <w:rsid w:val="5DD95F90"/>
    <w:rsid w:val="5DF512CC"/>
    <w:rsid w:val="5DF62F70"/>
    <w:rsid w:val="5E20798B"/>
    <w:rsid w:val="5E356F1F"/>
    <w:rsid w:val="5E4D4722"/>
    <w:rsid w:val="5E6E6249"/>
    <w:rsid w:val="5E7648A4"/>
    <w:rsid w:val="5E7B60DB"/>
    <w:rsid w:val="5E8A188B"/>
    <w:rsid w:val="5EAB3CC7"/>
    <w:rsid w:val="5EB82B7B"/>
    <w:rsid w:val="5EC42611"/>
    <w:rsid w:val="5EEE33FD"/>
    <w:rsid w:val="5EF126C0"/>
    <w:rsid w:val="5F090A89"/>
    <w:rsid w:val="5F0D28BD"/>
    <w:rsid w:val="5F4D22BA"/>
    <w:rsid w:val="5F65734B"/>
    <w:rsid w:val="5F7D0637"/>
    <w:rsid w:val="5F9448D8"/>
    <w:rsid w:val="5F98519A"/>
    <w:rsid w:val="5F99442C"/>
    <w:rsid w:val="5FB742C5"/>
    <w:rsid w:val="5FCD6078"/>
    <w:rsid w:val="5FEE24CA"/>
    <w:rsid w:val="600B4EFB"/>
    <w:rsid w:val="601F4BAF"/>
    <w:rsid w:val="604A23F9"/>
    <w:rsid w:val="60637F52"/>
    <w:rsid w:val="60931426"/>
    <w:rsid w:val="60BC0D77"/>
    <w:rsid w:val="60EA095F"/>
    <w:rsid w:val="610C4ACE"/>
    <w:rsid w:val="612D05BB"/>
    <w:rsid w:val="61510304"/>
    <w:rsid w:val="619418EC"/>
    <w:rsid w:val="61AC418E"/>
    <w:rsid w:val="62154DF7"/>
    <w:rsid w:val="6216083E"/>
    <w:rsid w:val="626456FA"/>
    <w:rsid w:val="62647C14"/>
    <w:rsid w:val="626F7F7D"/>
    <w:rsid w:val="62A12BEF"/>
    <w:rsid w:val="62A139F3"/>
    <w:rsid w:val="62A6516A"/>
    <w:rsid w:val="62AE41D6"/>
    <w:rsid w:val="62CF32E1"/>
    <w:rsid w:val="62D5076A"/>
    <w:rsid w:val="62DE49DD"/>
    <w:rsid w:val="62E515D1"/>
    <w:rsid w:val="62ED6AB2"/>
    <w:rsid w:val="62F33B80"/>
    <w:rsid w:val="62F67FC2"/>
    <w:rsid w:val="62F76189"/>
    <w:rsid w:val="630C516B"/>
    <w:rsid w:val="6325603A"/>
    <w:rsid w:val="6331663B"/>
    <w:rsid w:val="6336142F"/>
    <w:rsid w:val="634351B6"/>
    <w:rsid w:val="6387254A"/>
    <w:rsid w:val="638D4F38"/>
    <w:rsid w:val="63BB29E2"/>
    <w:rsid w:val="63EE7BC2"/>
    <w:rsid w:val="64116F3E"/>
    <w:rsid w:val="641D2495"/>
    <w:rsid w:val="643B1BC5"/>
    <w:rsid w:val="64890F60"/>
    <w:rsid w:val="649B63D6"/>
    <w:rsid w:val="64A70088"/>
    <w:rsid w:val="64E05C3C"/>
    <w:rsid w:val="64E3619E"/>
    <w:rsid w:val="64FA30E0"/>
    <w:rsid w:val="65031AFB"/>
    <w:rsid w:val="65164C0C"/>
    <w:rsid w:val="65293523"/>
    <w:rsid w:val="654A176D"/>
    <w:rsid w:val="656475AC"/>
    <w:rsid w:val="656D04E3"/>
    <w:rsid w:val="656E012E"/>
    <w:rsid w:val="65875B16"/>
    <w:rsid w:val="658E4991"/>
    <w:rsid w:val="65B358F4"/>
    <w:rsid w:val="65B449B7"/>
    <w:rsid w:val="65C308A8"/>
    <w:rsid w:val="65C66B2D"/>
    <w:rsid w:val="65D163E1"/>
    <w:rsid w:val="66072ECE"/>
    <w:rsid w:val="660F474C"/>
    <w:rsid w:val="661A5498"/>
    <w:rsid w:val="66540846"/>
    <w:rsid w:val="668506CA"/>
    <w:rsid w:val="668A3617"/>
    <w:rsid w:val="668C5F71"/>
    <w:rsid w:val="668C6957"/>
    <w:rsid w:val="66981E41"/>
    <w:rsid w:val="66C73865"/>
    <w:rsid w:val="66E069BA"/>
    <w:rsid w:val="66EF7A62"/>
    <w:rsid w:val="66F31B42"/>
    <w:rsid w:val="674D3F5C"/>
    <w:rsid w:val="678D07EE"/>
    <w:rsid w:val="67A6286D"/>
    <w:rsid w:val="67AC2539"/>
    <w:rsid w:val="67B93CA4"/>
    <w:rsid w:val="67DA4B2A"/>
    <w:rsid w:val="67E30C3F"/>
    <w:rsid w:val="6802710A"/>
    <w:rsid w:val="680A47AA"/>
    <w:rsid w:val="680C0846"/>
    <w:rsid w:val="681F48AD"/>
    <w:rsid w:val="682739EC"/>
    <w:rsid w:val="68317660"/>
    <w:rsid w:val="68425993"/>
    <w:rsid w:val="68633099"/>
    <w:rsid w:val="689032E2"/>
    <w:rsid w:val="68C10D9F"/>
    <w:rsid w:val="690872DE"/>
    <w:rsid w:val="69354EE3"/>
    <w:rsid w:val="695E1C38"/>
    <w:rsid w:val="69681D89"/>
    <w:rsid w:val="699604A0"/>
    <w:rsid w:val="69981BB6"/>
    <w:rsid w:val="699C7570"/>
    <w:rsid w:val="69A75110"/>
    <w:rsid w:val="69AF003E"/>
    <w:rsid w:val="69B23BA4"/>
    <w:rsid w:val="69CD52B0"/>
    <w:rsid w:val="69DC2843"/>
    <w:rsid w:val="69F830AA"/>
    <w:rsid w:val="6A085CBE"/>
    <w:rsid w:val="6A153A67"/>
    <w:rsid w:val="6A3F352D"/>
    <w:rsid w:val="6A4C344E"/>
    <w:rsid w:val="6A4E7A1A"/>
    <w:rsid w:val="6A5B0582"/>
    <w:rsid w:val="6A5F3D6D"/>
    <w:rsid w:val="6A855576"/>
    <w:rsid w:val="6AFE36E2"/>
    <w:rsid w:val="6B09789D"/>
    <w:rsid w:val="6B0B1A2E"/>
    <w:rsid w:val="6B185C86"/>
    <w:rsid w:val="6B241890"/>
    <w:rsid w:val="6B2D3621"/>
    <w:rsid w:val="6B433933"/>
    <w:rsid w:val="6B575AA1"/>
    <w:rsid w:val="6B630B24"/>
    <w:rsid w:val="6B940198"/>
    <w:rsid w:val="6BD541E5"/>
    <w:rsid w:val="6BD61A29"/>
    <w:rsid w:val="6BD96D03"/>
    <w:rsid w:val="6BDC24CE"/>
    <w:rsid w:val="6BF6083C"/>
    <w:rsid w:val="6C12377A"/>
    <w:rsid w:val="6C226508"/>
    <w:rsid w:val="6C2D1DCF"/>
    <w:rsid w:val="6C414F72"/>
    <w:rsid w:val="6C4930E9"/>
    <w:rsid w:val="6C62779B"/>
    <w:rsid w:val="6C6A02DA"/>
    <w:rsid w:val="6C8A2CCA"/>
    <w:rsid w:val="6C947184"/>
    <w:rsid w:val="6C9838C1"/>
    <w:rsid w:val="6D110D3B"/>
    <w:rsid w:val="6D2800FF"/>
    <w:rsid w:val="6D5743E9"/>
    <w:rsid w:val="6D5C53FB"/>
    <w:rsid w:val="6D8110C5"/>
    <w:rsid w:val="6DA0283D"/>
    <w:rsid w:val="6E166BAF"/>
    <w:rsid w:val="6E185853"/>
    <w:rsid w:val="6E344AD2"/>
    <w:rsid w:val="6E53210F"/>
    <w:rsid w:val="6E603223"/>
    <w:rsid w:val="6E716270"/>
    <w:rsid w:val="6E8639DF"/>
    <w:rsid w:val="6E962605"/>
    <w:rsid w:val="6EAB6A62"/>
    <w:rsid w:val="6ED11026"/>
    <w:rsid w:val="6EFA4931"/>
    <w:rsid w:val="6F032C16"/>
    <w:rsid w:val="6F0C63C1"/>
    <w:rsid w:val="6F1A4A00"/>
    <w:rsid w:val="6F265DA7"/>
    <w:rsid w:val="6F57340B"/>
    <w:rsid w:val="6F69715D"/>
    <w:rsid w:val="6F6D5164"/>
    <w:rsid w:val="6F7F0787"/>
    <w:rsid w:val="6F8A2CEF"/>
    <w:rsid w:val="6FA11C8D"/>
    <w:rsid w:val="6FAA79E8"/>
    <w:rsid w:val="6FBA768F"/>
    <w:rsid w:val="6FBE4BE4"/>
    <w:rsid w:val="6FD55A73"/>
    <w:rsid w:val="6FD741DB"/>
    <w:rsid w:val="6FE66028"/>
    <w:rsid w:val="6FF834F9"/>
    <w:rsid w:val="7016293F"/>
    <w:rsid w:val="701D72C3"/>
    <w:rsid w:val="703C6BD1"/>
    <w:rsid w:val="705848F7"/>
    <w:rsid w:val="70695608"/>
    <w:rsid w:val="708158A8"/>
    <w:rsid w:val="708563E7"/>
    <w:rsid w:val="708A2EFA"/>
    <w:rsid w:val="70CB434E"/>
    <w:rsid w:val="70D7457B"/>
    <w:rsid w:val="70FE2B1B"/>
    <w:rsid w:val="710366DA"/>
    <w:rsid w:val="71102171"/>
    <w:rsid w:val="71251EAB"/>
    <w:rsid w:val="71280582"/>
    <w:rsid w:val="71443908"/>
    <w:rsid w:val="714546B9"/>
    <w:rsid w:val="71767BA9"/>
    <w:rsid w:val="719240DC"/>
    <w:rsid w:val="71A617F5"/>
    <w:rsid w:val="71CF1689"/>
    <w:rsid w:val="71D45FDB"/>
    <w:rsid w:val="71DC1DC3"/>
    <w:rsid w:val="71EF13EC"/>
    <w:rsid w:val="720037E0"/>
    <w:rsid w:val="72190BE6"/>
    <w:rsid w:val="72307E9B"/>
    <w:rsid w:val="723776B9"/>
    <w:rsid w:val="723C6FE6"/>
    <w:rsid w:val="72675B00"/>
    <w:rsid w:val="7274672F"/>
    <w:rsid w:val="72BA5DEC"/>
    <w:rsid w:val="72BB1D45"/>
    <w:rsid w:val="72D71F6D"/>
    <w:rsid w:val="72DC485D"/>
    <w:rsid w:val="72F0419A"/>
    <w:rsid w:val="730C528C"/>
    <w:rsid w:val="73103064"/>
    <w:rsid w:val="731D0112"/>
    <w:rsid w:val="732B0918"/>
    <w:rsid w:val="73315A5F"/>
    <w:rsid w:val="734F32B4"/>
    <w:rsid w:val="735E51D5"/>
    <w:rsid w:val="736154DB"/>
    <w:rsid w:val="736A21A7"/>
    <w:rsid w:val="737C3F12"/>
    <w:rsid w:val="738F170E"/>
    <w:rsid w:val="73CA79AA"/>
    <w:rsid w:val="73DA2C89"/>
    <w:rsid w:val="741061B9"/>
    <w:rsid w:val="74555F51"/>
    <w:rsid w:val="74805CED"/>
    <w:rsid w:val="748527D2"/>
    <w:rsid w:val="74980BD6"/>
    <w:rsid w:val="749A0D61"/>
    <w:rsid w:val="74C6370C"/>
    <w:rsid w:val="74D75CB7"/>
    <w:rsid w:val="74E101A1"/>
    <w:rsid w:val="74E36AFB"/>
    <w:rsid w:val="750B14D3"/>
    <w:rsid w:val="75171229"/>
    <w:rsid w:val="75241A48"/>
    <w:rsid w:val="753B6235"/>
    <w:rsid w:val="753C5E12"/>
    <w:rsid w:val="754C75A2"/>
    <w:rsid w:val="759253B8"/>
    <w:rsid w:val="759D13E0"/>
    <w:rsid w:val="75A575B8"/>
    <w:rsid w:val="75E33CA9"/>
    <w:rsid w:val="75FE1688"/>
    <w:rsid w:val="761C0F14"/>
    <w:rsid w:val="76615ED4"/>
    <w:rsid w:val="768F1066"/>
    <w:rsid w:val="769B64F7"/>
    <w:rsid w:val="76A606E2"/>
    <w:rsid w:val="76C15146"/>
    <w:rsid w:val="76E3019D"/>
    <w:rsid w:val="76FF6F67"/>
    <w:rsid w:val="77022DF7"/>
    <w:rsid w:val="77060C27"/>
    <w:rsid w:val="77121375"/>
    <w:rsid w:val="773F19E1"/>
    <w:rsid w:val="7748156F"/>
    <w:rsid w:val="774A252E"/>
    <w:rsid w:val="77581AA8"/>
    <w:rsid w:val="77625E38"/>
    <w:rsid w:val="7793231D"/>
    <w:rsid w:val="77B576D1"/>
    <w:rsid w:val="77E0638F"/>
    <w:rsid w:val="77F50EA0"/>
    <w:rsid w:val="780D4FB8"/>
    <w:rsid w:val="780F1937"/>
    <w:rsid w:val="7812493C"/>
    <w:rsid w:val="781E08EF"/>
    <w:rsid w:val="78326CDB"/>
    <w:rsid w:val="78DA259B"/>
    <w:rsid w:val="78DC3EBE"/>
    <w:rsid w:val="791D4884"/>
    <w:rsid w:val="79243E4D"/>
    <w:rsid w:val="79361073"/>
    <w:rsid w:val="79444F92"/>
    <w:rsid w:val="79637803"/>
    <w:rsid w:val="79754EDE"/>
    <w:rsid w:val="79851987"/>
    <w:rsid w:val="79962469"/>
    <w:rsid w:val="79A01EC9"/>
    <w:rsid w:val="79A37786"/>
    <w:rsid w:val="79AA5728"/>
    <w:rsid w:val="79C0707A"/>
    <w:rsid w:val="79C40109"/>
    <w:rsid w:val="7A2211A3"/>
    <w:rsid w:val="7A406248"/>
    <w:rsid w:val="7A895323"/>
    <w:rsid w:val="7A8A016F"/>
    <w:rsid w:val="7AF2461F"/>
    <w:rsid w:val="7AF36489"/>
    <w:rsid w:val="7AF9436E"/>
    <w:rsid w:val="7B0C637C"/>
    <w:rsid w:val="7B13311B"/>
    <w:rsid w:val="7B2D39BC"/>
    <w:rsid w:val="7B37514D"/>
    <w:rsid w:val="7B4D1E6F"/>
    <w:rsid w:val="7B6C13C5"/>
    <w:rsid w:val="7B7F35A7"/>
    <w:rsid w:val="7B904B36"/>
    <w:rsid w:val="7BA63070"/>
    <w:rsid w:val="7BBD725D"/>
    <w:rsid w:val="7BED75DA"/>
    <w:rsid w:val="7C157F71"/>
    <w:rsid w:val="7C8700E6"/>
    <w:rsid w:val="7C9838F9"/>
    <w:rsid w:val="7C9B3AC9"/>
    <w:rsid w:val="7C9C3988"/>
    <w:rsid w:val="7CA35304"/>
    <w:rsid w:val="7CA722E8"/>
    <w:rsid w:val="7CAF2272"/>
    <w:rsid w:val="7CC85893"/>
    <w:rsid w:val="7CD132B1"/>
    <w:rsid w:val="7CD62CB7"/>
    <w:rsid w:val="7CDC2114"/>
    <w:rsid w:val="7CE62CF7"/>
    <w:rsid w:val="7CEE274A"/>
    <w:rsid w:val="7D2379CC"/>
    <w:rsid w:val="7D3540BD"/>
    <w:rsid w:val="7D4E0B4C"/>
    <w:rsid w:val="7D752A04"/>
    <w:rsid w:val="7D9F5F86"/>
    <w:rsid w:val="7DA774CB"/>
    <w:rsid w:val="7DBB12B2"/>
    <w:rsid w:val="7DC6348F"/>
    <w:rsid w:val="7DD05260"/>
    <w:rsid w:val="7DEF3C6D"/>
    <w:rsid w:val="7DF2436A"/>
    <w:rsid w:val="7E122E0D"/>
    <w:rsid w:val="7E531D4D"/>
    <w:rsid w:val="7E5A432D"/>
    <w:rsid w:val="7E7D27AD"/>
    <w:rsid w:val="7E824D63"/>
    <w:rsid w:val="7EA34112"/>
    <w:rsid w:val="7EA97B31"/>
    <w:rsid w:val="7EBD4526"/>
    <w:rsid w:val="7ECA3B2F"/>
    <w:rsid w:val="7EE16A0A"/>
    <w:rsid w:val="7EEF18BB"/>
    <w:rsid w:val="7EF379BC"/>
    <w:rsid w:val="7F032706"/>
    <w:rsid w:val="7F19502E"/>
    <w:rsid w:val="7F1E3B76"/>
    <w:rsid w:val="7F7346E1"/>
    <w:rsid w:val="7F816D28"/>
    <w:rsid w:val="7F8D133C"/>
    <w:rsid w:val="7F8E2E4E"/>
    <w:rsid w:val="7F9A7CFE"/>
    <w:rsid w:val="7FE64714"/>
    <w:rsid w:val="7FF10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2">
    <w:name w:val="heading 3"/>
    <w:basedOn w:val="1"/>
    <w:next w:val="1"/>
    <w:link w:val="38"/>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annotation subject"/>
    <w:basedOn w:val="8"/>
    <w:next w:val="8"/>
    <w:qFormat/>
    <w:uiPriority w:val="0"/>
  </w:style>
  <w:style w:type="paragraph" w:styleId="8">
    <w:name w:val="annotation text"/>
    <w:basedOn w:val="1"/>
    <w:link w:val="39"/>
    <w:qFormat/>
    <w:uiPriority w:val="0"/>
    <w:pPr>
      <w:jc w:val="left"/>
    </w:pPr>
    <w:rPr>
      <w:rFonts w:ascii="Times New Roman" w:hAnsi="Times New Roman"/>
      <w:szCs w:val="20"/>
    </w:rPr>
  </w:style>
  <w:style w:type="paragraph" w:styleId="9">
    <w:name w:val="toc 7"/>
    <w:basedOn w:val="1"/>
    <w:next w:val="1"/>
    <w:qFormat/>
    <w:uiPriority w:val="39"/>
    <w:pPr>
      <w:ind w:left="1260"/>
      <w:jc w:val="left"/>
    </w:pPr>
    <w:rPr>
      <w:rFonts w:ascii="Calibri" w:hAnsi="Calibri" w:cs="Calibri"/>
      <w:sz w:val="18"/>
      <w:szCs w:val="18"/>
    </w:rPr>
  </w:style>
  <w:style w:type="paragraph" w:styleId="10">
    <w:name w:val="Document Map"/>
    <w:basedOn w:val="1"/>
    <w:qFormat/>
    <w:uiPriority w:val="0"/>
    <w:rPr>
      <w:rFonts w:ascii="宋体" w:cs="宋体"/>
      <w:sz w:val="18"/>
      <w:szCs w:val="18"/>
    </w:rPr>
  </w:style>
  <w:style w:type="paragraph" w:styleId="11">
    <w:name w:val="Body Text 3"/>
    <w:basedOn w:val="1"/>
    <w:link w:val="40"/>
    <w:qFormat/>
    <w:uiPriority w:val="0"/>
    <w:rPr>
      <w:rFonts w:ascii="宋体"/>
      <w:sz w:val="24"/>
      <w:szCs w:val="20"/>
    </w:rPr>
  </w:style>
  <w:style w:type="paragraph" w:styleId="12">
    <w:name w:val="Body Text"/>
    <w:basedOn w:val="1"/>
    <w:next w:val="1"/>
    <w:qFormat/>
    <w:uiPriority w:val="0"/>
    <w:pPr>
      <w:spacing w:line="360" w:lineRule="auto"/>
    </w:pPr>
    <w:rPr>
      <w:sz w:val="24"/>
    </w:rPr>
  </w:style>
  <w:style w:type="paragraph" w:styleId="13">
    <w:name w:val="Body Text Indent"/>
    <w:basedOn w:val="1"/>
    <w:qFormat/>
    <w:uiPriority w:val="0"/>
    <w:pPr>
      <w:ind w:firstLine="560" w:firstLineChars="200"/>
    </w:pPr>
    <w:rPr>
      <w:rFonts w:ascii="宋体" w:hAnsi="宋体"/>
      <w:bCs/>
      <w:sz w:val="28"/>
      <w:szCs w:val="32"/>
    </w:rPr>
  </w:style>
  <w:style w:type="paragraph" w:styleId="14">
    <w:name w:val="toc 5"/>
    <w:basedOn w:val="1"/>
    <w:next w:val="1"/>
    <w:qFormat/>
    <w:uiPriority w:val="39"/>
    <w:pPr>
      <w:ind w:left="840"/>
      <w:jc w:val="left"/>
    </w:pPr>
    <w:rPr>
      <w:rFonts w:ascii="Calibri" w:hAnsi="Calibri" w:cs="Calibri"/>
      <w:sz w:val="18"/>
      <w:szCs w:val="18"/>
    </w:rPr>
  </w:style>
  <w:style w:type="paragraph" w:styleId="15">
    <w:name w:val="toc 3"/>
    <w:basedOn w:val="1"/>
    <w:next w:val="1"/>
    <w:qFormat/>
    <w:uiPriority w:val="39"/>
    <w:pPr>
      <w:ind w:left="420"/>
      <w:jc w:val="left"/>
    </w:pPr>
    <w:rPr>
      <w:rFonts w:ascii="Calibri" w:hAnsi="Calibri"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ascii="Calibri" w:hAnsi="Calibri" w:cs="Calibri"/>
      <w:sz w:val="18"/>
      <w:szCs w:val="18"/>
    </w:r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41"/>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ascii="Calibri" w:hAnsi="Calibri" w:cs="Calibri"/>
      <w:b/>
      <w:bCs/>
      <w:caps/>
      <w:sz w:val="20"/>
      <w:szCs w:val="20"/>
    </w:rPr>
  </w:style>
  <w:style w:type="paragraph" w:styleId="23">
    <w:name w:val="toc 4"/>
    <w:basedOn w:val="1"/>
    <w:next w:val="1"/>
    <w:qFormat/>
    <w:uiPriority w:val="39"/>
    <w:pPr>
      <w:ind w:left="630"/>
      <w:jc w:val="left"/>
    </w:pPr>
    <w:rPr>
      <w:rFonts w:ascii="Calibri" w:hAnsi="Calibri" w:cs="Calibri"/>
      <w:sz w:val="18"/>
      <w:szCs w:val="18"/>
    </w:rPr>
  </w:style>
  <w:style w:type="paragraph" w:styleId="24">
    <w:name w:val="footnote text"/>
    <w:basedOn w:val="1"/>
    <w:qFormat/>
    <w:uiPriority w:val="99"/>
    <w:pPr>
      <w:snapToGrid w:val="0"/>
      <w:jc w:val="left"/>
    </w:pPr>
    <w:rPr>
      <w:sz w:val="18"/>
      <w:szCs w:val="18"/>
    </w:rPr>
  </w:style>
  <w:style w:type="paragraph" w:styleId="25">
    <w:name w:val="toc 6"/>
    <w:basedOn w:val="1"/>
    <w:next w:val="1"/>
    <w:qFormat/>
    <w:uiPriority w:val="39"/>
    <w:pPr>
      <w:ind w:left="1050"/>
      <w:jc w:val="left"/>
    </w:pPr>
    <w:rPr>
      <w:rFonts w:ascii="Calibri" w:hAnsi="Calibri" w:cs="Calibri"/>
      <w:sz w:val="18"/>
      <w:szCs w:val="18"/>
    </w:rPr>
  </w:style>
  <w:style w:type="paragraph" w:styleId="26">
    <w:name w:val="Body Text Indent 3"/>
    <w:basedOn w:val="1"/>
    <w:qFormat/>
    <w:uiPriority w:val="0"/>
    <w:pPr>
      <w:spacing w:after="120"/>
      <w:ind w:left="200" w:leftChars="200"/>
    </w:pPr>
    <w:rPr>
      <w:sz w:val="16"/>
      <w:szCs w:val="16"/>
    </w:rPr>
  </w:style>
  <w:style w:type="paragraph" w:styleId="27">
    <w:name w:val="toc 2"/>
    <w:basedOn w:val="1"/>
    <w:next w:val="1"/>
    <w:qFormat/>
    <w:uiPriority w:val="39"/>
    <w:pPr>
      <w:ind w:left="210"/>
      <w:jc w:val="left"/>
    </w:pPr>
    <w:rPr>
      <w:rFonts w:ascii="Calibri" w:hAnsi="Calibri" w:cs="Calibri"/>
      <w:smallCaps/>
      <w:sz w:val="20"/>
      <w:szCs w:val="20"/>
    </w:rPr>
  </w:style>
  <w:style w:type="paragraph" w:styleId="28">
    <w:name w:val="toc 9"/>
    <w:basedOn w:val="1"/>
    <w:next w:val="1"/>
    <w:qFormat/>
    <w:uiPriority w:val="39"/>
    <w:pPr>
      <w:ind w:left="1680"/>
      <w:jc w:val="left"/>
    </w:pPr>
    <w:rPr>
      <w:rFonts w:ascii="Calibri" w:hAnsi="Calibri" w:cs="Calibri"/>
      <w:sz w:val="18"/>
      <w:szCs w:val="18"/>
    </w:rPr>
  </w:style>
  <w:style w:type="character" w:styleId="30">
    <w:name w:val="Strong"/>
    <w:qFormat/>
    <w:uiPriority w:val="0"/>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annotation reference"/>
    <w:qFormat/>
    <w:uiPriority w:val="0"/>
    <w:rPr>
      <w:sz w:val="21"/>
    </w:rPr>
  </w:style>
  <w:style w:type="character" w:styleId="35">
    <w:name w:val="footnote reference"/>
    <w:unhideWhenUsed/>
    <w:qFormat/>
    <w:uiPriority w:val="0"/>
    <w:rPr>
      <w:vertAlign w:val="superscript"/>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标题 3 Char"/>
    <w:basedOn w:val="29"/>
    <w:link w:val="2"/>
    <w:qFormat/>
    <w:uiPriority w:val="0"/>
    <w:rPr>
      <w:rFonts w:ascii="黑体" w:hAnsi="Calibri" w:eastAsia="黑体"/>
      <w:kern w:val="2"/>
      <w:sz w:val="28"/>
    </w:rPr>
  </w:style>
  <w:style w:type="character" w:customStyle="1" w:styleId="39">
    <w:name w:val="批注文字 Char"/>
    <w:basedOn w:val="29"/>
    <w:link w:val="8"/>
    <w:qFormat/>
    <w:uiPriority w:val="0"/>
    <w:rPr>
      <w:rFonts w:eastAsia="宋体"/>
      <w:kern w:val="2"/>
      <w:sz w:val="21"/>
    </w:rPr>
  </w:style>
  <w:style w:type="character" w:customStyle="1" w:styleId="40">
    <w:name w:val="正文文本 3 Char"/>
    <w:basedOn w:val="29"/>
    <w:link w:val="11"/>
    <w:qFormat/>
    <w:uiPriority w:val="0"/>
    <w:rPr>
      <w:rFonts w:ascii="宋体" w:hAnsi="Calibri" w:eastAsia="宋体"/>
      <w:kern w:val="2"/>
      <w:sz w:val="24"/>
    </w:rPr>
  </w:style>
  <w:style w:type="character" w:customStyle="1" w:styleId="41">
    <w:name w:val="页眉 Char"/>
    <w:basedOn w:val="29"/>
    <w:link w:val="21"/>
    <w:qFormat/>
    <w:uiPriority w:val="99"/>
    <w:rPr>
      <w:rFonts w:ascii="Times New Roman" w:hAnsi="Times New Roman" w:eastAsia="宋体" w:cs="Times New Roman"/>
      <w:kern w:val="2"/>
      <w:sz w:val="18"/>
    </w:rPr>
  </w:style>
  <w:style w:type="character" w:customStyle="1" w:styleId="42">
    <w:name w:val="style_kwd"/>
    <w:basedOn w:val="29"/>
    <w:qFormat/>
    <w:uiPriority w:val="0"/>
  </w:style>
  <w:style w:type="character" w:customStyle="1" w:styleId="43">
    <w:name w:val="批注文字 Char1"/>
    <w:qFormat/>
    <w:uiPriority w:val="0"/>
    <w:rPr>
      <w:rFonts w:ascii="Times New Roman" w:hAnsi="Times New Roman" w:eastAsia="宋体" w:cs="Times New Roman"/>
      <w:sz w:val="20"/>
      <w:szCs w:val="20"/>
      <w:lang w:bidi="ar-SA"/>
    </w:rPr>
  </w:style>
  <w:style w:type="character" w:customStyle="1" w:styleId="44">
    <w:name w:val="Comment Text Char"/>
    <w:qFormat/>
    <w:uiPriority w:val="0"/>
  </w:style>
  <w:style w:type="paragraph" w:customStyle="1" w:styleId="45">
    <w:name w:val="修订1"/>
    <w:qFormat/>
    <w:uiPriority w:val="0"/>
    <w:rPr>
      <w:rFonts w:ascii="Times New Roman" w:hAnsi="Times New Roman" w:eastAsia="宋体" w:cs="Times New Roman"/>
      <w:kern w:val="2"/>
      <w:sz w:val="21"/>
      <w:lang w:val="en-US" w:eastAsia="zh-CN" w:bidi="ar-SA"/>
    </w:rPr>
  </w:style>
  <w:style w:type="paragraph" w:customStyle="1" w:styleId="46">
    <w:name w:val="_Style 23"/>
    <w:basedOn w:val="1"/>
    <w:qFormat/>
    <w:uiPriority w:val="0"/>
    <w:pPr>
      <w:widowControl/>
      <w:spacing w:after="160" w:line="240" w:lineRule="exact"/>
      <w:jc w:val="left"/>
    </w:p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48">
    <w:name w:val="font161"/>
    <w:qFormat/>
    <w:uiPriority w:val="0"/>
    <w:rPr>
      <w:b/>
      <w:bCs/>
      <w:sz w:val="32"/>
      <w:szCs w:val="32"/>
    </w:rPr>
  </w:style>
  <w:style w:type="paragraph" w:customStyle="1" w:styleId="4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50">
    <w:name w:val="样式 标题 3 + (中文) 黑体 小四 非加粗 段前: 7.8 磅 段后: 0 磅 行距: 固定值 20 磅"/>
    <w:basedOn w:val="2"/>
    <w:qFormat/>
    <w:uiPriority w:val="0"/>
    <w:pPr>
      <w:spacing w:before="0" w:after="0" w:line="400" w:lineRule="exact"/>
      <w:ind w:firstLine="0" w:firstLineChars="0"/>
    </w:pPr>
    <w:rPr>
      <w:rFonts w:ascii="Times New Roman" w:hAnsi="Times New Roman" w:cs="宋体"/>
      <w:sz w:val="24"/>
    </w:rPr>
  </w:style>
  <w:style w:type="paragraph" w:customStyle="1" w:styleId="51">
    <w:name w:val="修订2"/>
    <w:semiHidden/>
    <w:qFormat/>
    <w:uiPriority w:val="99"/>
    <w:rPr>
      <w:rFonts w:ascii="Calibri" w:hAnsi="Calibri" w:eastAsia="宋体" w:cs="Times New Roman"/>
      <w:kern w:val="2"/>
      <w:sz w:val="21"/>
      <w:szCs w:val="22"/>
      <w:lang w:val="en-US" w:eastAsia="zh-CN" w:bidi="ar-SA"/>
    </w:rPr>
  </w:style>
  <w:style w:type="paragraph" w:styleId="52">
    <w:name w:val="List Paragraph"/>
    <w:basedOn w:val="1"/>
    <w:qFormat/>
    <w:uiPriority w:val="99"/>
    <w:pPr>
      <w:ind w:firstLine="420" w:firstLineChars="200"/>
    </w:pPr>
  </w:style>
  <w:style w:type="paragraph" w:customStyle="1" w:styleId="53">
    <w:name w:val="修订3"/>
    <w:semiHidden/>
    <w:qFormat/>
    <w:uiPriority w:val="99"/>
    <w:rPr>
      <w:rFonts w:ascii="Calibri" w:hAnsi="Calibri" w:eastAsia="宋体" w:cs="Times New Roman"/>
      <w:kern w:val="2"/>
      <w:sz w:val="21"/>
      <w:szCs w:val="22"/>
      <w:lang w:val="en-US" w:eastAsia="zh-CN" w:bidi="ar-SA"/>
    </w:rPr>
  </w:style>
  <w:style w:type="paragraph" w:customStyle="1" w:styleId="54">
    <w:name w:val="修订4"/>
    <w:semiHidden/>
    <w:qFormat/>
    <w:uiPriority w:val="99"/>
    <w:rPr>
      <w:rFonts w:ascii="Calibri" w:hAnsi="Calibri" w:eastAsia="宋体" w:cs="Times New Roman"/>
      <w:kern w:val="2"/>
      <w:sz w:val="21"/>
      <w:szCs w:val="22"/>
      <w:lang w:val="en-US" w:eastAsia="zh-CN" w:bidi="ar-SA"/>
    </w:rPr>
  </w:style>
  <w:style w:type="paragraph" w:customStyle="1" w:styleId="55">
    <w:name w:val="修订5"/>
    <w:unhideWhenUsed/>
    <w:qFormat/>
    <w:uiPriority w:val="99"/>
    <w:rPr>
      <w:rFonts w:ascii="Calibri" w:hAnsi="Calibri" w:eastAsia="宋体" w:cs="Times New Roman"/>
      <w:kern w:val="2"/>
      <w:sz w:val="21"/>
      <w:szCs w:val="22"/>
      <w:lang w:val="en-US" w:eastAsia="zh-CN" w:bidi="ar-SA"/>
    </w:rPr>
  </w:style>
  <w:style w:type="paragraph" w:customStyle="1" w:styleId="56">
    <w:name w:val="修订6"/>
    <w:unhideWhenUsed/>
    <w:qFormat/>
    <w:uiPriority w:val="99"/>
    <w:rPr>
      <w:rFonts w:ascii="Calibri" w:hAnsi="Calibri" w:eastAsia="宋体" w:cs="Times New Roman"/>
      <w:kern w:val="2"/>
      <w:sz w:val="21"/>
      <w:szCs w:val="22"/>
      <w:lang w:val="en-US" w:eastAsia="zh-CN" w:bidi="ar-SA"/>
    </w:rPr>
  </w:style>
  <w:style w:type="paragraph" w:customStyle="1" w:styleId="57">
    <w:name w:val="【正文】"/>
    <w:basedOn w:val="1"/>
    <w:qFormat/>
    <w:uiPriority w:val="0"/>
    <w:pPr>
      <w:spacing w:line="360" w:lineRule="auto"/>
      <w:ind w:firstLine="480" w:firstLineChars="200"/>
    </w:pPr>
    <w:rPr>
      <w:rFonts w:ascii="Calibri" w:hAnsi="Calibri"/>
      <w:kern w:val="0"/>
      <w:sz w:val="24"/>
    </w:rPr>
  </w:style>
  <w:style w:type="paragraph" w:customStyle="1" w:styleId="5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 Char"/>
    <w:basedOn w:val="1"/>
    <w:qFormat/>
    <w:uiPriority w:val="0"/>
    <w:rPr>
      <w:rFonts w:ascii="Calibri" w:hAnsi="Calibri"/>
      <w:szCs w:val="22"/>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1">
    <w:name w:val="font91"/>
    <w:basedOn w:val="29"/>
    <w:qFormat/>
    <w:uiPriority w:val="0"/>
    <w:rPr>
      <w:rFonts w:hint="eastAsia" w:ascii="宋体" w:hAnsi="宋体" w:eastAsia="宋体" w:cs="宋体"/>
      <w:b/>
      <w:bCs/>
      <w:color w:val="000000"/>
      <w:sz w:val="22"/>
      <w:szCs w:val="22"/>
      <w:u w:val="none"/>
    </w:rPr>
  </w:style>
  <w:style w:type="character" w:customStyle="1" w:styleId="62">
    <w:name w:val="font7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55</Pages>
  <Words>15667</Words>
  <Characters>16568</Characters>
  <Lines>300</Lines>
  <Paragraphs>84</Paragraphs>
  <TotalTime>1</TotalTime>
  <ScaleCrop>false</ScaleCrop>
  <LinksUpToDate>false</LinksUpToDate>
  <CharactersWithSpaces>17268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2021-06-04T00:23:00Z</dcterms:created>
  <dc:creator>Lenovo</dc:creator>
  <cp:lastModifiedBy>Administrator</cp:lastModifiedBy>
  <cp:lastPrinted>2025-12-03T01:53:04Z</cp:lastPrinted>
  <dcterms:modified xsi:type="dcterms:W3CDTF">2025-12-03T01:55:33Z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B5DB4B75ECF747A68E323A6777A12C64_13</vt:lpwstr>
  </property>
  <property fmtid="{D5CDD505-2E9C-101B-9397-08002B2CF9AE}" pid="4" name="KSOTemplateDocerSaveRecord">
    <vt:lpwstr>eyJoZGlkIjoiZDllZmU1ZTViMmVlMDZjYTM5OWM1Njk5NWQ0NjJjZjUifQ==</vt:lpwstr>
  </property>
</Properties>
</file>